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2.xml" ContentType="application/vnd.openxmlformats-officedocument.wordprocessingml.header+xml"/>
  <Override PartName="/word/header4.xml" ContentType="application/vnd.openxmlformats-officedocument.wordprocessingml.header+xml"/>
  <Override PartName="/word/header1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67"/>
        <w:jc w:val="both"/>
        <w:outlineLvl w:val="0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outlineLvl w:val="0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АДМИНИСТРАЦИЯ ГОРОДА ПОКАЧИ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ПОСТАНОВЛЕНИЕ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от 12 октября 2018 г. N 1002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ОБ УТВЕРЖДЕНИИ МУНИЦИПАЛЬНОЙ ПРОГРАММЫ "УПРАВЛЕНИЕ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И РАСПОРЯЖЕНИЕ ИМУЩЕСТВОМ, НАХОДЯЩИМСЯ В СОБСТВЕННОСТИ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ГОРОДА ПОКАЧИ И ЗЕМЕЛЬНЫМИ УЧАСТКАМИ, ГОСУДАРСТВЕННАЯ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СОБСТВЕННОСТЬ НА КОТОРЫЕ НЕ РАЗГРАНИЧЕНА </w:t>
      </w:r>
      <w:r>
        <w:rPr>
          <w:rFonts w:ascii="Times New Roman" w:hAnsi="Times New Roman" w:cs="Times New Roman"/>
          <w:szCs w:val="22"/>
        </w:rPr>
      </w:r>
    </w:p>
    <w:p>
      <w:pPr>
        <w:pStyle w:val="769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(с изменениями от 14.02.2025</w:t>
      </w:r>
      <w:r>
        <w:rPr>
          <w:rFonts w:ascii="Times New Roman" w:hAnsi="Times New Roman" w:cs="Times New Roman"/>
          <w:szCs w:val="22"/>
        </w:rPr>
        <w:t xml:space="preserve"> № </w:t>
      </w:r>
      <w:r>
        <w:rPr>
          <w:rFonts w:ascii="Times New Roman" w:hAnsi="Times New Roman" w:cs="Times New Roman"/>
          <w:szCs w:val="22"/>
        </w:rPr>
        <w:t xml:space="preserve">124</w:t>
      </w:r>
      <w:r>
        <w:rPr>
          <w:rFonts w:ascii="Times New Roman" w:hAnsi="Times New Roman" w:cs="Times New Roman"/>
          <w:szCs w:val="22"/>
        </w:rPr>
        <w:t xml:space="preserve">)</w:t>
      </w:r>
      <w:r>
        <w:rPr>
          <w:rFonts w:ascii="Times New Roman" w:hAnsi="Times New Roman" w:cs="Times New Roman"/>
          <w:szCs w:val="22"/>
        </w:rPr>
      </w:r>
    </w:p>
    <w:p>
      <w:pPr>
        <w:spacing w:after="1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В соответствии с </w:t>
      </w:r>
      <w:hyperlink r:id="rId14" w:tooltip="consultantplus://offline/ref=6E7F96363D9D772F3877D86E3F053E8138F2F98629A4E0F8D717D6297760F9C43738A7938CE3A1909F560CD9531B0B2DFB5Cc4L" w:history="1">
        <w:r>
          <w:rPr>
            <w:rFonts w:ascii="Times New Roman" w:hAnsi="Times New Roman" w:cs="Times New Roman"/>
            <w:szCs w:val="22"/>
          </w:rPr>
          <w:t xml:space="preserve">постановлением</w:t>
        </w:r>
      </w:hyperlink>
      <w:r>
        <w:rPr>
          <w:rFonts w:ascii="Times New Roman" w:hAnsi="Times New Roman" w:cs="Times New Roman"/>
          <w:szCs w:val="22"/>
        </w:rP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</w:t>
      </w:r>
      <w:r>
        <w:rPr>
          <w:rFonts w:ascii="Times New Roman" w:hAnsi="Times New Roman" w:cs="Times New Roman"/>
          <w:szCs w:val="22"/>
        </w:rPr>
        <w:t xml:space="preserve">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15" w:tooltip="consultantplus://offline/ref=6E7F96363D9D772F3877D86E3F053E8138F2F98629A4E0F5D21DD6297760F9C43738A7939EE3F99C9D5E12DA530E5D7CBD91B0D8DBA9F06FA42BC16657c4L" w:history="1">
        <w:r>
          <w:rPr>
            <w:rFonts w:ascii="Times New Roman" w:hAnsi="Times New Roman" w:cs="Times New Roman"/>
            <w:szCs w:val="22"/>
          </w:rPr>
          <w:t xml:space="preserve">пунктом 3 части 1 статьи 6</w:t>
        </w:r>
      </w:hyperlink>
      <w:r>
        <w:rPr>
          <w:rFonts w:ascii="Times New Roman" w:hAnsi="Times New Roman" w:cs="Times New Roman"/>
          <w:szCs w:val="22"/>
        </w:rPr>
        <w:t xml:space="preserve"> Устава города Покачи, </w:t>
      </w:r>
      <w:hyperlink r:id="rId16" w:tooltip="consultantplus://offline/ref=6E7F96363D9D772F3877D86E3F053E8138F2F9862AACE1F0D716D6297760F9C43738A7938CE3A1909F560CD9531B0B2DFB5Cc4L" w:history="1">
        <w:r>
          <w:rPr>
            <w:rFonts w:ascii="Times New Roman" w:hAnsi="Times New Roman" w:cs="Times New Roman"/>
            <w:szCs w:val="22"/>
          </w:rPr>
          <w:t xml:space="preserve">решением</w:t>
        </w:r>
      </w:hyperlink>
      <w:r>
        <w:rPr>
          <w:rFonts w:ascii="Times New Roman" w:hAnsi="Times New Roman" w:cs="Times New Roman"/>
          <w:szCs w:val="22"/>
        </w:rPr>
        <w:t xml:space="preserve"> Думы города Покачи от 23</w:t>
      </w:r>
      <w:r>
        <w:rPr>
          <w:rFonts w:ascii="Times New Roman" w:hAnsi="Times New Roman" w:cs="Times New Roman"/>
          <w:szCs w:val="22"/>
        </w:rPr>
        <w:t xml:space="preserve">.0</w:t>
      </w:r>
      <w:r>
        <w:rPr>
          <w:rFonts w:ascii="Times New Roman" w:hAnsi="Times New Roman" w:cs="Times New Roman"/>
          <w:szCs w:val="22"/>
        </w:rPr>
        <w:t xml:space="preserve">6</w:t>
      </w:r>
      <w:r>
        <w:rPr>
          <w:rFonts w:ascii="Times New Roman" w:hAnsi="Times New Roman" w:cs="Times New Roman"/>
          <w:szCs w:val="22"/>
        </w:rPr>
        <w:t xml:space="preserve">.20</w:t>
      </w:r>
      <w:r>
        <w:rPr>
          <w:rFonts w:ascii="Times New Roman" w:hAnsi="Times New Roman" w:cs="Times New Roman"/>
          <w:szCs w:val="22"/>
        </w:rPr>
        <w:t xml:space="preserve">20</w:t>
      </w:r>
      <w:r>
        <w:rPr>
          <w:rFonts w:ascii="Times New Roman" w:hAnsi="Times New Roman" w:cs="Times New Roman"/>
          <w:szCs w:val="22"/>
        </w:rPr>
        <w:t xml:space="preserve"> N </w:t>
      </w:r>
      <w:r>
        <w:rPr>
          <w:rFonts w:ascii="Times New Roman" w:hAnsi="Times New Roman" w:cs="Times New Roman"/>
          <w:szCs w:val="22"/>
        </w:rPr>
        <w:t xml:space="preserve">41</w:t>
      </w:r>
      <w:r>
        <w:rPr>
          <w:rFonts w:ascii="Times New Roman" w:hAnsi="Times New Roman" w:cs="Times New Roman"/>
          <w:szCs w:val="22"/>
        </w:rPr>
        <w:t xml:space="preserve"> "О Порядке управления и распоряжения имуществом, находящимся в собственности города Покачи", распоряжением администрации города Покачи от 20.09.2019 N 176-р "О разработке муниципальных программ города Покачи на 2019 - 2030 годы":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1. Утвердить муниципальную </w:t>
      </w:r>
      <w:hyperlink w:tooltip="#P36" w:anchor="P36" w:history="1">
        <w:r>
          <w:rPr>
            <w:rFonts w:ascii="Times New Roman" w:hAnsi="Times New Roman" w:cs="Times New Roman"/>
            <w:szCs w:val="22"/>
          </w:rPr>
          <w:t xml:space="preserve">программу</w:t>
        </w:r>
      </w:hyperlink>
      <w:r>
        <w:rPr>
          <w:rFonts w:ascii="Times New Roman" w:hAnsi="Times New Roman" w:cs="Times New Roman"/>
          <w:szCs w:val="22"/>
        </w:rPr>
        <w:t xml:space="preserve"> "Управление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 " согласно приложению к настоящему постановлению.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2. Настоящее постановление вступает в силу с 01.01.2019.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3. Опубликовать настоящее постановление в газете "Покачевский вестник".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4. Контроль за выполнением постановления возложить на председателя комитета по управлению муниципальным имуществом администрации города Покачи Л.А.Гелетко.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Исполняющий обязанности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главы города Покачи,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первый заместитель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главы города Покачи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В.Г.КАЗАНЦЕВА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outlineLvl w:val="0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Приложение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к постановлению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администрации города Покачи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от 12.10.2018 N 1002</w:t>
      </w:r>
      <w:r>
        <w:rPr>
          <w:rFonts w:ascii="Times New Roman" w:hAnsi="Times New Roman" w:cs="Times New Roman"/>
          <w:szCs w:val="22"/>
        </w:rPr>
      </w:r>
    </w:p>
    <w:p>
      <w:pPr>
        <w:pStyle w:val="7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</w:r>
      <w:r>
        <w:rPr>
          <w:rFonts w:ascii="Times New Roman" w:hAnsi="Times New Roman" w:cs="Times New Roman"/>
          <w:szCs w:val="22"/>
        </w:rPr>
      </w:r>
    </w:p>
    <w:p>
      <w:pPr>
        <w:pStyle w:val="771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36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Муниципальная программа «Управление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разграничена»</w:t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outlineLvl w:val="1"/>
        <w:rPr>
          <w:rFonts w:ascii="Times New Roman" w:hAnsi="Times New Roman"/>
          <w:sz w:val="24"/>
        </w:rPr>
      </w:pPr>
      <w:bookmarkStart w:id="1" w:name="P33"/>
      <w:bookmarkEnd w:id="1"/>
      <w:r>
        <w:rPr>
          <w:rFonts w:ascii="Times New Roman" w:hAnsi="Times New Roman"/>
          <w:sz w:val="24"/>
        </w:rPr>
      </w:r>
    </w:p>
    <w:p>
      <w:pPr>
        <w:ind w:firstLine="540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Статья 1.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 xml:space="preserve">Общие положения</w:t>
      </w:r>
      <w:r>
        <w:rPr>
          <w:rFonts w:ascii="Times New Roman" w:hAnsi="Times New Roman"/>
          <w:sz w:val="24"/>
        </w:rPr>
      </w:r>
    </w:p>
    <w:p>
      <w:pPr>
        <w:pStyle w:val="77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Муниципальная пр</w:t>
      </w:r>
      <w:r>
        <w:rPr>
          <w:rFonts w:ascii="Times New Roman" w:hAnsi="Times New Roman"/>
          <w:sz w:val="24"/>
          <w:szCs w:val="24"/>
        </w:rPr>
        <w:t xml:space="preserve">ограмма «Управление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разграничена» (далее - муниципальная программа) разработана в целях реализации основных положений </w:t>
      </w:r>
      <w:hyperlink r:id="rId17" w:tooltip="consultantplus://offline/ref=AD329D3180997F68F083331197AFDE4559C34338A3565B0A2382EBD497NEW2L" w:history="1">
        <w:r>
          <w:rPr>
            <w:rStyle w:val="789"/>
            <w:rFonts w:ascii="Times New Roman" w:hAnsi="Times New Roman"/>
            <w:color w:val="auto"/>
            <w:sz w:val="24"/>
            <w:szCs w:val="24"/>
            <w:u w:val="none"/>
          </w:rPr>
          <w:t xml:space="preserve">Указа</w:t>
        </w:r>
      </w:hyperlink>
      <w:r>
        <w:rPr>
          <w:rFonts w:ascii="Times New Roman" w:hAnsi="Times New Roman"/>
          <w:sz w:val="24"/>
          <w:szCs w:val="24"/>
        </w:rPr>
        <w:t xml:space="preserve"> Президента Российской Федерации от 07.05.2018 № 204 «О национальных целях и стратегических задачах развития Российской Федерации на период до 2024 года», </w:t>
      </w:r>
      <w:r>
        <w:rPr>
          <w:rFonts w:ascii="Times New Roman" w:hAnsi="Times New Roman" w:eastAsia="Calibri"/>
          <w:sz w:val="24"/>
          <w:szCs w:val="24"/>
          <w:lang w:eastAsia="ru-RU"/>
        </w:rPr>
        <w:t xml:space="preserve">Указа Президента Российской Федерации от 07.05.2024 № 309 «О национальных целях развития Российской Федерации на период до 2030 года и на перспективу до 2036 года</w:t>
      </w:r>
      <w:r>
        <w:rPr>
          <w:rFonts w:ascii="Times New Roman" w:hAnsi="Times New Roman"/>
          <w:sz w:val="24"/>
          <w:szCs w:val="24"/>
        </w:rPr>
        <w:t xml:space="preserve">, в соответствии с приоритетами стратегического развития в сфере владения, пользования и распоряжения муниципальным имуществом, определенными в посланиях Президента Рос</w:t>
      </w:r>
      <w:r>
        <w:rPr>
          <w:rFonts w:ascii="Times New Roman" w:hAnsi="Times New Roman"/>
          <w:sz w:val="24"/>
          <w:szCs w:val="24"/>
        </w:rPr>
        <w:t xml:space="preserve">сийской Федерации, концепциях, государственных программах Российской Федерации, отраслевыми стратегиями и другими документами стратегического планирования Российской Федерации и Ханты-Мансийского автономного округа - Югры, частью 4 статьи 7.2.3. раздела 7 </w:t>
      </w:r>
      <w:r>
        <w:rPr>
          <w:rFonts w:ascii="Times New Roman" w:hAnsi="Times New Roman" w:eastAsia="Calibri"/>
          <w:sz w:val="24"/>
          <w:szCs w:val="24"/>
          <w:lang w:eastAsia="ru-RU"/>
        </w:rPr>
        <w:t xml:space="preserve">Стратегии социально-экономического развития города Покачи до 2036 года с целевыми ориентирами до 2050 год,</w:t>
      </w:r>
      <w:r>
        <w:rPr>
          <w:rFonts w:ascii="Times New Roman" w:hAnsi="Times New Roman"/>
          <w:sz w:val="24"/>
          <w:szCs w:val="24"/>
        </w:rPr>
        <w:t xml:space="preserve"> утвержденной решением Думы города Покачи от 26.06.2024 № 47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</w:r>
    </w:p>
    <w:p>
      <w:pPr>
        <w:pStyle w:val="771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Реализация муниципальной программы осуществляется за счет средств местного бюджета в соответствии с решением Думы города </w:t>
      </w:r>
      <w:r>
        <w:rPr>
          <w:rFonts w:ascii="Times New Roman" w:hAnsi="Times New Roman" w:cs="Times New Roman"/>
          <w:sz w:val="24"/>
          <w:szCs w:val="24"/>
        </w:rPr>
        <w:t xml:space="preserve">Покачи о бюджете города Покачи.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71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 формируется в соотв</w:t>
      </w:r>
      <w:r>
        <w:rPr>
          <w:rFonts w:ascii="Times New Roman" w:hAnsi="Times New Roman" w:cs="Times New Roman"/>
          <w:sz w:val="24"/>
          <w:szCs w:val="24"/>
        </w:rPr>
        <w:t xml:space="preserve">етствии с муниципальной политикой в сфере управления муниципальным имуществом, с учетом общественного обсуждения, инициативного бюджетирования и запланирована к реализации в течение 2019-2030 годов. Механизм реализации муниципальной программы предполагает: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7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разработку и принятие муниципальных 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 xml:space="preserve">, необходимых для ее выполнения;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7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обеспечение управления, эффективного использования средств, выделенных на реализацию муниципальной программы.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7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ежегодное фор</w:t>
      </w:r>
      <w:r>
        <w:rPr>
          <w:rFonts w:ascii="Times New Roman" w:hAnsi="Times New Roman" w:cs="Times New Roman"/>
          <w:sz w:val="24"/>
          <w:szCs w:val="24"/>
        </w:rPr>
        <w:t xml:space="preserve">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показателей, а также связанных с изменениями внешней среды;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jc w:val="both"/>
        <w:rPr>
          <w:rFonts w:ascii="Times New Roman" w:hAnsi="Times New Roman" w:eastAsia="Calibri"/>
          <w:sz w:val="24"/>
        </w:rPr>
      </w:pPr>
      <w:r>
        <w:rPr>
          <w:rFonts w:ascii="Times New Roman" w:hAnsi="Times New Roman" w:eastAsia="Calibri"/>
          <w:sz w:val="24"/>
        </w:rPr>
        <w:t xml:space="preserve">4) предоставление отчетов о реализации муниципальной программы.</w:t>
      </w:r>
      <w:r>
        <w:rPr>
          <w:rFonts w:ascii="Times New Roman" w:hAnsi="Times New Roman" w:eastAsia="Calibri"/>
          <w:sz w:val="24"/>
        </w:rPr>
      </w:r>
    </w:p>
    <w:p>
      <w:pPr>
        <w:pStyle w:val="780"/>
        <w:jc w:val="both"/>
        <w:rPr>
          <w:rFonts w:ascii="Times New Roman" w:hAnsi="Times New Roman" w:eastAsia="Calibri"/>
          <w:sz w:val="24"/>
          <w:szCs w:val="24"/>
        </w:rPr>
      </w:pPr>
      <w:r>
        <w:rPr>
          <w:rFonts w:ascii="Times New Roman" w:hAnsi="Times New Roman" w:eastAsia="Calibri"/>
          <w:sz w:val="24"/>
        </w:rPr>
        <w:tab/>
        <w:t xml:space="preserve">4. </w:t>
      </w:r>
      <w:r>
        <w:rPr>
          <w:rFonts w:ascii="Times New Roman" w:hAnsi="Times New Roman" w:eastAsia="Calibri"/>
          <w:sz w:val="24"/>
          <w:szCs w:val="24"/>
        </w:rPr>
        <w:t xml:space="preserve">Куратором Муниципальной программы является Председатель комитета по управлению муниципальным имуществом ад</w:t>
      </w:r>
      <w:r>
        <w:rPr>
          <w:rFonts w:ascii="Times New Roman" w:hAnsi="Times New Roman" w:eastAsia="Calibri"/>
          <w:sz w:val="24"/>
          <w:szCs w:val="24"/>
        </w:rPr>
        <w:t xml:space="preserve">министрации города Покачи, ответственный исполнитель муниципальной программы комитет по управлению муниципальным имуществом администрации города Покачи, соисполнитель муниципальной программы Муниципальное учреждение «Управление капитального строительства».</w:t>
      </w:r>
      <w:r>
        <w:rPr>
          <w:rFonts w:ascii="Times New Roman" w:hAnsi="Times New Roman" w:eastAsia="Calibri"/>
          <w:sz w:val="24"/>
          <w:szCs w:val="24"/>
        </w:rPr>
      </w:r>
    </w:p>
    <w:p>
      <w:pPr>
        <w:ind w:firstLine="709"/>
        <w:jc w:val="both"/>
        <w:rPr>
          <w:rFonts w:ascii="Times New Roman" w:hAnsi="Times New Roman" w:eastAsia="Calibri"/>
          <w:sz w:val="24"/>
        </w:rPr>
      </w:pPr>
      <w:r>
        <w:rPr>
          <w:rFonts w:ascii="Times New Roman" w:hAnsi="Times New Roman" w:eastAsia="Calibri"/>
          <w:sz w:val="24"/>
        </w:rPr>
        <w:t xml:space="preserve">Соисполнитель муниципальной программы несет ответственность за эффективное и це</w:t>
      </w:r>
      <w:r>
        <w:rPr>
          <w:rFonts w:ascii="Times New Roman" w:hAnsi="Times New Roman" w:eastAsia="Calibri"/>
          <w:sz w:val="24"/>
        </w:rPr>
        <w:t xml:space="preserve">левое использование средств и с целью координации действий до 5 числа месяца, следующего за отчетным кварталом, представляют ответственному исполнителю муниципальной программы отчет об исполнении мероприятий муниципальной программы по форме, установленной </w:t>
      </w:r>
      <w:r>
        <w:rPr>
          <w:rFonts w:ascii="Times New Roman" w:hAnsi="Times New Roman" w:eastAsia="Calibri"/>
          <w:sz w:val="24"/>
        </w:rPr>
        <w:t xml:space="preserve">постановлением администрации города Покачи</w:t>
      </w:r>
      <w:r>
        <w:rPr>
          <w:rFonts w:ascii="Times New Roman" w:hAnsi="Times New Roman" w:eastAsia="Calibri"/>
          <w:sz w:val="24"/>
        </w:rPr>
        <w:t xml:space="preserve"> для предоставления отчетов о реализации муниципальной программы.</w:t>
      </w:r>
      <w:r>
        <w:rPr>
          <w:rFonts w:ascii="Times New Roman" w:hAnsi="Times New Roman" w:eastAsia="Calibri"/>
          <w:sz w:val="24"/>
        </w:rPr>
      </w:r>
    </w:p>
    <w:p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 w:eastAsia="Calibri"/>
          <w:sz w:val="24"/>
        </w:rPr>
        <w:t xml:space="preserve">Реализация мероприятий муниципальной программы осуществляется с учетом техно</w:t>
      </w:r>
      <w:r>
        <w:rPr>
          <w:rFonts w:ascii="Times New Roman" w:hAnsi="Times New Roman" w:eastAsia="Calibri"/>
          <w:sz w:val="24"/>
        </w:rPr>
        <w:t xml:space="preserve">логий «Бережливого производства» путем повышения прозрачности и открытости деятельности в ходе реализации муниципальной программы, устранения административных барьеров, уменьшения временных потерь, снижения излишней бюрократической нагрузки на работников, </w:t>
      </w:r>
      <w:r>
        <w:rPr>
          <w:rFonts w:ascii="Times New Roman" w:hAnsi="Times New Roman"/>
          <w:sz w:val="24"/>
        </w:rPr>
        <w:t xml:space="preserve">проведение обучающих мероприятий по оптимизации процессов, </w:t>
      </w:r>
      <w:r>
        <w:rPr>
          <w:rFonts w:ascii="Times New Roman" w:hAnsi="Times New Roman" w:eastAsia="Calibri"/>
          <w:sz w:val="24"/>
        </w:rPr>
        <w:t xml:space="preserve">разработки автоматизированных информационных систем, позволяющих снизить количество запрашиваемой информации</w:t>
      </w:r>
      <w:r>
        <w:rPr>
          <w:rFonts w:ascii="Times New Roman" w:hAnsi="Times New Roman"/>
          <w:sz w:val="24"/>
        </w:rPr>
        <w:t xml:space="preserve"> снижению затрат и повышению эффективности деятельности в потенциально коррупционноемких направлениях деятельности.</w:t>
      </w:r>
      <w:r>
        <w:rPr>
          <w:rFonts w:ascii="Times New Roman" w:hAnsi="Times New Roman"/>
          <w:sz w:val="24"/>
        </w:rPr>
      </w:r>
    </w:p>
    <w:p>
      <w:pPr>
        <w:ind w:firstLine="709"/>
        <w:jc w:val="both"/>
        <w:rPr>
          <w:rFonts w:ascii="Times New Roman" w:hAnsi="Times New Roman" w:eastAsia="Calibri"/>
          <w:sz w:val="24"/>
        </w:rPr>
      </w:pPr>
      <w:r>
        <w:rPr>
          <w:rFonts w:ascii="Times New Roman" w:hAnsi="Times New Roman" w:eastAsia="Calibri"/>
          <w:sz w:val="24"/>
        </w:rPr>
        <w:t xml:space="preserve">Оценка хода исполнения программных мероприятий основана на монито</w:t>
      </w:r>
      <w:r>
        <w:rPr>
          <w:rFonts w:ascii="Times New Roman" w:hAnsi="Times New Roman" w:eastAsia="Calibri"/>
          <w:sz w:val="24"/>
        </w:rPr>
        <w:t xml:space="preserve">ринге ожидаемых результатов ее реализации путем сопоставления фактически достигнутых и целевых значений показателей, а также на результатах социологических исследований. В соответствии с данными мониторинга по фактически достигнутым результатам реализации,</w:t>
      </w:r>
      <w:r>
        <w:rPr>
          <w:rFonts w:ascii="Times New Roman" w:hAnsi="Times New Roman" w:eastAsia="Calibri"/>
          <w:sz w:val="24"/>
        </w:rPr>
        <w:t xml:space="preserve"> по результатам социологических исследований в муниципальную программу могут быть внесены корректировки. В случае выявления лучших практик реализации программных мероприятий в нее могут быть внесены корректировки, связанные с оптимизацией этих мероприятий.</w:t>
      </w:r>
      <w:r>
        <w:rPr>
          <w:rFonts w:ascii="Times New Roman" w:hAnsi="Times New Roman" w:eastAsia="Calibri"/>
          <w:sz w:val="24"/>
        </w:rPr>
      </w:r>
    </w:p>
    <w:p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Реализация финансирования мероприятий муниципальной программы осуществляется на основе муниципальных контрактов на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оказание услуг, выполнение работ для муниципальных нужд. В целях эффективной реализации муниципальной программы часть функций по исполнению ее мероприятий может быть передана муниципальным учреждениям.</w:t>
      </w:r>
      <w:r>
        <w:rPr>
          <w:rFonts w:ascii="Times New Roman" w:hAnsi="Times New Roman"/>
          <w:sz w:val="24"/>
        </w:rPr>
      </w:r>
    </w:p>
    <w:p>
      <w:pPr>
        <w:pStyle w:val="771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Финансовое обеспечени</w:t>
      </w:r>
      <w:r>
        <w:rPr>
          <w:rFonts w:ascii="Times New Roman" w:hAnsi="Times New Roman" w:cs="Times New Roman"/>
          <w:sz w:val="24"/>
          <w:szCs w:val="24"/>
        </w:rPr>
        <w:t xml:space="preserve">е муниципальной программы осуществляется за счет средств местного бюджета в соответствии с решением Думы города Покачи о бюджете города Покачи, в пределах лимитов бюджетных обязательств и объемов финансирования, предусмотренных по муниципальной  программе.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540"/>
        <w:outlineLvl w:val="1"/>
        <w:rPr>
          <w:rFonts w:ascii="Times New Roman" w:hAnsi="Times New Roman"/>
          <w:b/>
          <w:sz w:val="24"/>
        </w:rPr>
        <w:sectPr>
          <w:headerReference w:type="default" r:id="rId9"/>
          <w:headerReference w:type="first" r:id="rId10"/>
          <w:footnotePr/>
          <w:endnotePr/>
          <w:type w:val="nextPage"/>
          <w:pgSz w:w="11905" w:h="16837" w:orient="portrait"/>
          <w:pgMar w:top="284" w:right="567" w:bottom="1134" w:left="1701" w:header="284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left="1134" w:firstLine="709"/>
        <w:jc w:val="right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Таблица 1</w:t>
      </w:r>
      <w:r>
        <w:rPr>
          <w:rFonts w:ascii="Times New Roman" w:hAnsi="Times New Roman"/>
          <w:sz w:val="24"/>
        </w:rPr>
      </w:r>
    </w:p>
    <w:p>
      <w:pPr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Паспорт муниципальной программы</w:t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tbl>
      <w:tblPr>
        <w:tblW w:w="14883" w:type="dxa"/>
        <w:tblInd w:w="3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3401"/>
        <w:gridCol w:w="454"/>
        <w:gridCol w:w="1639"/>
        <w:gridCol w:w="1204"/>
        <w:gridCol w:w="1054"/>
        <w:gridCol w:w="247"/>
        <w:gridCol w:w="426"/>
        <w:gridCol w:w="708"/>
        <w:gridCol w:w="142"/>
        <w:gridCol w:w="567"/>
        <w:gridCol w:w="851"/>
        <w:gridCol w:w="264"/>
        <w:gridCol w:w="1720"/>
        <w:gridCol w:w="2206"/>
      </w:tblGrid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муниципальной программы &lt;1&gt;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3297" w:type="dxa"/>
            <w:gridSpan w:val="3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«Управление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4259" w:type="dxa"/>
            <w:gridSpan w:val="8"/>
            <w:noWrap w:val="false"/>
            <w:textDirection w:val="lrTb"/>
          </w:tcPr>
          <w:p>
            <w:pPr>
              <w:pStyle w:val="77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Сроки реализации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муниципальной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программы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9525" cy="9525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Рисунок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9525" cy="95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0.75pt;height:0.75pt;mso-wrap-distance-left:0.00pt;mso-wrap-distance-top:0.00pt;mso-wrap-distance-right:0.00pt;mso-wrap-distance-bottom:0.00pt;" stroked="f">
                      <v:path textboxrect="0,0,0,0"/>
                      <v:imagedata r:id="rId18" o:title="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3926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2019-2025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годы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на период до 2030 года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Куратор муниципальной 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Председатель комитета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 управлению муниципальным имуществом администрации города Покачи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Ответственный исполнитель муниципальной 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управлению муниципальным имуществом администрации города Покачи 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Соисполнители муниципальной 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Муниципальное учреждение «Управление капитального строительства»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Национальная цель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Цели муниципальной 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8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Формирование эффективной системы управления и распоряжения имуществом, находящимся в собственности города Покачи, и земельными участками, государственная собственность на которые не разграничена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Задачи муниципальной 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Совершенствование системы управления муниципальным имуществом города Покачи и земельными участками, государственная собственность на которые не разграничена.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restart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Целевые показатели муниципальной программы&lt;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454" w:type="dxa"/>
            <w:vMerge w:val="restart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п/п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639" w:type="dxa"/>
            <w:vMerge w:val="restart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целевого показателя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.1&gt;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vMerge w:val="restart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Документ – основание 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.2&gt;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185" w:type="dxa"/>
            <w:gridSpan w:val="10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Значение показателя по годам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54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39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204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0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Базовое значение 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.3&gt;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673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24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2025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1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2026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момент окончания реализации муниципальной программы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2030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.4&gt;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Ответственный исполнитель/ соисполнитель за достижение показателя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.5&gt;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639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Снижение удельного веса незакрепленного недвижимого имущества в общем количестве недвижимого имущества города Покачи с 13,2 % до 10%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%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0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13,2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673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1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управлению муниципальным имуществом администрации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639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количества объектов муниципальной собственности, в которых проведен капитальный/текущий ремонт с 1 до 14 ед.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,объект 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«1»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0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673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1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управлению муниципальным имуществом администрации/ 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униципальное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учреждение «Управление капитального строительства»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639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доли сданных в аренду субъектам малого и среднего предпринимательства, организаци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ям, образующим инфраструктуру поддержки субъектов малого и среднего предпринимательства, недвижимого имущества, включенного в перечень муниципального имущества в общем количестве объектов недвижимого имущества, включенных в указанный перечень с 70% до 80%.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,% 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«2»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0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673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1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управлению муниципальным имуществом администрации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639" w:type="dxa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количества  мун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иципального имущества в перечнях муниципального имущества, предназначенных для передачи в аренду  субъектам малого и среднего предпринимательства, организациям, образующим инфраструктуру поддержки субъектов малого и среднего предпринимательств с 0% до 10%.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,% 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«3»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05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673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1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управлению муниципальным имуществом администрации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restart"/>
            <w:noWrap w:val="false"/>
            <w:textDirection w:val="lrTb"/>
          </w:tcPr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Параметры финансового обеспечения муниципальной программы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</w:tc>
        <w:tc>
          <w:tcPr>
            <w:tcW w:w="2093" w:type="dxa"/>
            <w:gridSpan w:val="2"/>
            <w:vMerge w:val="restart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Источники финансирования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Cs w:val="20"/>
                <w:lang w:eastAsia="en-US"/>
              </w:rPr>
            </w:pPr>
            <w:r>
              <w:rPr>
                <w:rFonts w:ascii="Times New Roman" w:hAnsi="Times New Roman"/>
                <w:szCs w:val="20"/>
                <w:lang w:eastAsia="en-US"/>
              </w:rPr>
            </w:r>
            <w:r>
              <w:rPr>
                <w:rFonts w:ascii="Times New Roman" w:hAnsi="Times New Roman"/>
                <w:szCs w:val="20"/>
                <w:lang w:eastAsia="en-US"/>
              </w:rPr>
            </w:r>
            <w:r>
              <w:rPr>
                <w:rFonts w:ascii="Times New Roman" w:hAnsi="Times New Roman"/>
                <w:szCs w:val="20"/>
                <w:lang w:eastAsia="en-US"/>
              </w:rPr>
            </w:r>
          </w:p>
        </w:tc>
        <w:tc>
          <w:tcPr>
            <w:tcW w:w="9389" w:type="dxa"/>
            <w:gridSpan w:val="11"/>
            <w:noWrap w:val="false"/>
            <w:textDirection w:val="lrTb"/>
          </w:tcPr>
          <w:p>
            <w:pPr>
              <w:pStyle w:val="759"/>
              <w:jc w:val="center"/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Расходы по годам  (рублей)</w:t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sz w:val="16"/>
                <w:szCs w:val="16"/>
                <w:lang w:eastAsia="ru-RU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59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Всего 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2019-2030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24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2025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2026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2027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2028- 2030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both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всего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59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</w:p>
          <w:p>
            <w:pPr>
              <w:pStyle w:val="759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30 056 425,45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4 188 639,12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789 805,00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771 739,00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highlight w:val="none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771 739,00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highlight w:val="none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highlight w:val="none"/>
                <w:lang w:eastAsia="ru-RU" w:bidi="ru-RU"/>
              </w:rPr>
            </w:r>
          </w:p>
          <w:p>
            <w:pPr>
              <w:pStyle w:val="759"/>
              <w:jc w:val="center"/>
              <w:rPr>
                <w:rFonts w:ascii="Times New Roman" w:hAnsi="Times New Roman" w:eastAsia="Arial"/>
                <w:sz w:val="16"/>
                <w:szCs w:val="16"/>
                <w:highlight w:val="none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2 315 217,00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both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федеральный бюджет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</w:tc>
        <w:tc>
          <w:tcPr>
            <w:tcW w:w="1204" w:type="dxa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0,00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0,00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0,00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0,00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  <w:tc>
          <w:tcPr>
            <w:tcW w:w="2206" w:type="dxa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0,00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both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бюджет автономного округа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</w:tc>
        <w:tc>
          <w:tcPr>
            <w:tcW w:w="1204" w:type="dxa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2206" w:type="dxa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0,00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both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местный бюджет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</w:tc>
        <w:tc>
          <w:tcPr>
            <w:tcW w:w="1204" w:type="dxa"/>
            <w:noWrap w:val="false"/>
            <w:textDirection w:val="lrTb"/>
            <w:vAlign w:val="center"/>
          </w:tcPr>
          <w:p>
            <w:pPr>
              <w:pStyle w:val="759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</w:p>
          <w:p>
            <w:pPr>
              <w:pStyle w:val="759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30 056 425,45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4 188 639,12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789 805,00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771 739,00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  <w:vAlign w:val="center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771 739,00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</w:r>
          </w:p>
        </w:tc>
        <w:tc>
          <w:tcPr>
            <w:tcW w:w="2206" w:type="dxa"/>
            <w:noWrap w:val="false"/>
            <w:textDirection w:val="lrTb"/>
            <w:vAlign w:val="center"/>
          </w:tcPr>
          <w:p>
            <w:pPr>
              <w:pStyle w:val="759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  <w:p>
            <w:pPr>
              <w:pStyle w:val="759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  <w:t xml:space="preserve">2 315 217,00</w:t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  <w:p>
            <w:pPr>
              <w:pStyle w:val="759"/>
              <w:widowControl w:val="off"/>
              <w:jc w:val="center"/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pP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  <w:r>
              <w:rPr>
                <w:rFonts w:ascii="Times New Roman" w:hAnsi="Times New Roman" w:eastAsia="Arial"/>
                <w:sz w:val="16"/>
                <w:szCs w:val="16"/>
                <w:lang w:eastAsia="ru-RU" w:bidi="ru-RU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both"/>
              <w:rPr>
                <w:rFonts w:ascii="Times New Roman" w:hAnsi="Times New Roman" w:eastAsia="Arial"/>
                <w:szCs w:val="20"/>
                <w:lang w:eastAsia="ru-RU" w:bidi="ru-RU"/>
              </w:rPr>
            </w:pPr>
            <w:r>
              <w:rPr>
                <w:rFonts w:ascii="Times New Roman" w:hAnsi="Times New Roman" w:eastAsia="Arial"/>
                <w:szCs w:val="20"/>
                <w:lang w:eastAsia="ru-RU" w:bidi="ru-RU"/>
              </w:rPr>
              <w:t xml:space="preserve">иные источники финансирования</w:t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  <w:r>
              <w:rPr>
                <w:rFonts w:ascii="Times New Roman" w:hAnsi="Times New Roman" w:eastAsia="Arial"/>
                <w:szCs w:val="20"/>
                <w:lang w:eastAsia="ru-RU" w:bidi="ru-RU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59"/>
              <w:widowControl w:val="off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0,00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rPr/>
        <w:tblPrEx/>
        <w:tc>
          <w:tcPr>
            <w:tcW w:w="3401" w:type="dxa"/>
            <w:vMerge w:val="restart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Параметры финансового обеспечения региональных проектов, проектов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Ханты-Мансийского автономного округа - Югры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реализуемых в городе Покачи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vMerge w:val="restart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Источники финансирования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183" w:type="dxa"/>
            <w:gridSpan w:val="10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Расходы по годам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рублей)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Всего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24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2027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портфеля проектов (срок реализации дд.мм.гггг - дд.мм.гггг)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всего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бюджет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бюджет автономного округа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местный бюджет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иные источники финансирования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1482" w:type="dxa"/>
            <w:gridSpan w:val="13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проекта автономного округа (срок реализации дд.мм.гггг - дд.мм.гггг)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всего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бюджет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бюджет автономного округа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местный бюджет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3401" w:type="dxa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93" w:type="dxa"/>
            <w:gridSpan w:val="2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иные источники финансирования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0</w:t>
            </w:r>
          </w:p>
        </w:tc>
      </w:tr>
      <w:tr>
        <w:trPr/>
        <w:tblPrEx/>
        <w:tc>
          <w:tcPr>
            <w:tcW w:w="5494" w:type="dxa"/>
            <w:gridSpan w:val="3"/>
            <w:vMerge w:val="restart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Объем налоговых расходов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муниципального образования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&lt;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&gt;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9389" w:type="dxa"/>
            <w:gridSpan w:val="11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Расходы по годам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рублей)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5494" w:type="dxa"/>
            <w:gridSpan w:val="3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Всего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24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2027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5494" w:type="dxa"/>
            <w:gridSpan w:val="3"/>
            <w:vMerge w:val="continue"/>
            <w:noWrap w:val="false"/>
            <w:textDirection w:val="lrTb"/>
          </w:tcPr>
          <w:p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204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301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gridSpan w:val="3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8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984" w:type="dxa"/>
            <w:gridSpan w:val="2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206" w:type="dxa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</w:tbl>
    <w:p>
      <w:pPr>
        <w:ind w:left="142" w:right="-32" w:firstLine="851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</w:r>
    </w:p>
    <w:p>
      <w:pPr>
        <w:widowControl/>
        <w:ind w:left="1134" w:right="-32"/>
        <w:jc w:val="both"/>
        <w:rPr>
          <w:rFonts w:ascii="Times New Roman" w:hAnsi="Times New Roman" w:eastAsiaTheme="minorHAnsi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«</w:t>
      </w:r>
      <w:r>
        <w:rPr>
          <w:rFonts w:ascii="Times New Roman" w:hAnsi="Times New Roman"/>
          <w:sz w:val="18"/>
          <w:szCs w:val="18"/>
        </w:rPr>
        <w:t xml:space="preserve">1</w:t>
      </w:r>
      <w:r>
        <w:rPr>
          <w:rFonts w:ascii="Times New Roman" w:hAnsi="Times New Roman"/>
          <w:sz w:val="18"/>
          <w:szCs w:val="18"/>
        </w:rPr>
        <w:t xml:space="preserve">» Выполненные работы, согласно муниципальному контракту, заключенному в рамках </w:t>
      </w:r>
      <w:r>
        <w:rPr>
          <w:rFonts w:ascii="Times New Roman" w:hAnsi="Times New Roman" w:eastAsiaTheme="minorHAnsi"/>
          <w:sz w:val="18"/>
          <w:szCs w:val="18"/>
        </w:rPr>
        <w:t xml:space="preserve">Федерального закона от 05.04.2013 №</w:t>
      </w:r>
      <w:r>
        <w:rPr>
          <w:rFonts w:ascii="Times New Roman" w:hAnsi="Times New Roman" w:eastAsiaTheme="minorHAnsi"/>
          <w:sz w:val="18"/>
          <w:szCs w:val="18"/>
        </w:rPr>
        <w:t xml:space="preserve">  </w:t>
      </w:r>
      <w:r>
        <w:rPr>
          <w:rFonts w:ascii="Times New Roman" w:hAnsi="Times New Roman" w:eastAsiaTheme="minorHAnsi"/>
          <w:sz w:val="18"/>
          <w:szCs w:val="18"/>
        </w:rPr>
        <w:t xml:space="preserve">44-ФЗ «О контрактной системе в сфере закупок товаров, работ, услуг для обеспечения государственных и муниципальных нужд».</w:t>
      </w:r>
      <w:r>
        <w:rPr>
          <w:rFonts w:ascii="Times New Roman" w:hAnsi="Times New Roman" w:eastAsiaTheme="minorHAnsi"/>
          <w:sz w:val="18"/>
          <w:szCs w:val="18"/>
        </w:rPr>
      </w:r>
    </w:p>
    <w:tbl>
      <w:tblPr>
        <w:tblW w:w="15559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blBorders>
        <w:tblLayout w:type="fixed"/>
        <w:tblLook w:val="0000" w:firstRow="0" w:lastRow="0" w:firstColumn="0" w:lastColumn="0" w:noHBand="0" w:noVBand="0"/>
      </w:tblPr>
      <w:tblGrid>
        <w:gridCol w:w="15559"/>
      </w:tblGrid>
      <w:tr>
        <w:trPr>
          <w:trHeight w:val="98"/>
        </w:trPr>
        <w:tblPrEx/>
        <w:tc>
          <w:tcPr>
            <w:tcW w:w="15559" w:type="dxa"/>
            <w:noWrap w:val="false"/>
            <w:textDirection w:val="lrTb"/>
          </w:tcPr>
          <w:p>
            <w:pPr>
              <w:pStyle w:val="788"/>
              <w:ind w:left="1134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</w:t>
            </w: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  <w:t xml:space="preserve">» </w:t>
            </w:r>
            <w:r>
              <w:rPr>
                <w:bCs/>
                <w:sz w:val="18"/>
                <w:szCs w:val="18"/>
              </w:rPr>
              <w:t xml:space="preserve">Паспорт портфеля проектов </w:t>
            </w:r>
            <w:r>
              <w:rPr>
                <w:sz w:val="18"/>
                <w:szCs w:val="18"/>
              </w:rPr>
              <w:t xml:space="preserve">«Малое и среднее предпринимательство и поддержка индивидуальной предпринимательской инициативы» («Малое и среднее предпринимательство» (МСП))</w:t>
            </w:r>
            <w:r>
              <w:rPr>
                <w:sz w:val="18"/>
                <w:szCs w:val="18"/>
              </w:rPr>
            </w:r>
          </w:p>
          <w:p>
            <w:pPr>
              <w:ind w:left="1134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«3»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Распоряжение Правительства РФ от 31.01.2017 № 147-р «О целевых моделях упрощения процедур ведения бизнеса и повышения инвестиционной привлекат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ельности субъектов Российской Федерации» (вместе с «Методическими рекомендациями по внедрению в субъектах Российской Федерации целевых моделей упрощения процедур ведения бизнеса и повышения инвестиционной привлекательности субъектов Российской Федерации»).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  <w:p>
            <w:pPr>
              <w:pStyle w:val="78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98"/>
        </w:trPr>
        <w:tblPrEx/>
        <w:tc>
          <w:tcPr>
            <w:tcW w:w="15559" w:type="dxa"/>
            <w:noWrap w:val="false"/>
            <w:textDirection w:val="lrTb"/>
          </w:tcPr>
          <w:p>
            <w:pPr>
              <w:pStyle w:val="788"/>
              <w:ind w:left="113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</w:tbl>
    <w:p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tbl>
      <w:tblPr>
        <w:tblW w:w="224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5466"/>
        <w:gridCol w:w="7030"/>
      </w:tblGrid>
      <w:tr>
        <w:trPr>
          <w:trHeight w:val="80"/>
        </w:trPr>
        <w:tblPrEx/>
        <w:tc>
          <w:tcPr>
            <w:tcW w:w="15466" w:type="dx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shd w:val="clear" w:color="auto" w:fill="auto"/>
            <w:noWrap/>
            <w:textDirection w:val="lrTb"/>
            <w:vAlign w:val="bottom"/>
          </w:tcPr>
          <w:p>
            <w:pPr>
              <w:widowControl/>
              <w:jc w:val="right"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  <w:p>
            <w:pPr>
              <w:widowControl/>
              <w:jc w:val="right"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  <w:p>
            <w:pPr>
              <w:widowControl/>
              <w:jc w:val="right"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  <w:p>
            <w:pPr>
              <w:widowControl/>
              <w:jc w:val="right"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  <w:t xml:space="preserve">Таблица 2</w:t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  <w:p>
            <w:pPr>
              <w:widowControl/>
              <w:jc w:val="right"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  <w:p>
            <w:pPr>
              <w:widowControl/>
              <w:jc w:val="right"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</w:tc>
        <w:tc>
          <w:tcPr>
            <w:tcW w:w="7030" w:type="dx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shd w:val="clear" w:color="auto" w:fill="auto"/>
            <w:noWrap/>
            <w:textDirection w:val="lrTb"/>
            <w:vAlign w:val="bottom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6"/>
                <w:szCs w:val="16"/>
                <w:lang w:eastAsia="ru-RU"/>
              </w:rPr>
            </w:r>
          </w:p>
        </w:tc>
      </w:tr>
    </w:tbl>
    <w:p>
      <w:pPr>
        <w:jc w:val="center"/>
        <w:outlineLvl w:val="1"/>
        <w:rPr>
          <w:rFonts w:ascii="Times New Roman" w:hAnsi="Times New Roman" w:eastAsia="Times New Roman"/>
          <w:color w:val="000000"/>
          <w:sz w:val="24"/>
          <w:lang w:eastAsia="ru-RU"/>
        </w:rPr>
      </w:pPr>
      <w:r>
        <w:rPr>
          <w:rFonts w:ascii="Times New Roman" w:hAnsi="Times New Roman" w:eastAsia="Times New Roman"/>
          <w:color w:val="000000"/>
          <w:sz w:val="24"/>
          <w:lang w:eastAsia="ru-RU"/>
        </w:rPr>
        <w:t xml:space="preserve">Распределение финансовых ресурсов муниципальной программы</w:t>
      </w:r>
      <w:r>
        <w:rPr>
          <w:rFonts w:ascii="Times New Roman" w:hAnsi="Times New Roman" w:eastAsia="Times New Roman"/>
          <w:color w:val="000000"/>
          <w:sz w:val="24"/>
          <w:lang w:eastAsia="ru-RU"/>
        </w:rPr>
      </w:r>
    </w:p>
    <w:tbl>
      <w:tblPr>
        <w:tblW w:w="153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1560"/>
        <w:gridCol w:w="1275"/>
        <w:gridCol w:w="992"/>
        <w:gridCol w:w="933"/>
        <w:gridCol w:w="851"/>
        <w:gridCol w:w="992"/>
        <w:gridCol w:w="910"/>
        <w:gridCol w:w="767"/>
        <w:gridCol w:w="767"/>
        <w:gridCol w:w="908"/>
        <w:gridCol w:w="908"/>
        <w:gridCol w:w="767"/>
        <w:gridCol w:w="767"/>
        <w:gridCol w:w="850"/>
        <w:gridCol w:w="845"/>
        <w:gridCol w:w="709"/>
      </w:tblGrid>
      <w:tr>
        <w:trPr>
          <w:trHeight w:val="2295"/>
        </w:trPr>
        <w:tblPrEx/>
        <w:tc>
          <w:tcPr>
            <w:tcW w:w="58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Номер структурного элемента (основного мероприятия</w:t>
              <w:br/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Структурные элементы (основные мероприятия) муниципальной программы (их связь с целевыми показателями муниципальной программы)</w:t>
              <w:br/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Ответственный исполнитель/соисполнитель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0974" w:type="dxa"/>
            <w:gridSpan w:val="13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Финансовые затраты на реализацию (рублей)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33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0041" w:type="dxa"/>
            <w:gridSpan w:val="12"/>
            <w:tcBorders>
              <w:top w:val="single" w:color="auto" w:sz="8" w:space="0"/>
              <w:left w:val="none" w:color="000000" w:sz="4" w:space="0"/>
              <w:bottom w:val="single" w:color="auto" w:sz="8" w:space="0"/>
              <w:right w:val="single" w:color="000000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 том числе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55"/>
        </w:trPr>
        <w:tblPrEx/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33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2019 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2020г.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2021 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2022 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2023г.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2024г.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2025г.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2026г.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2027г.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2028г.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2029г.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2030г.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84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Управление объектами муниципального имущества и земельными участками, государственная собственность на которые не разграничена (1-4)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3 393 716,53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1 073 569,18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388 448,80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318 939,43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326 935,08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508 202,60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777 621,44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3 393 716,53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1 073 569,18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388 448,80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318 939,43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326 935,08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508 202,60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777 621,44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Содержание муниципального имущества (1-4)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23 415 712,16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2 764 518,93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2 287 653,98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2 019 337,73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2 104 792,87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7 192 647,58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2 398 261,07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23 415 712,16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2 764 518,93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2 287 653,98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2 019 337,73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2 104 792,87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7 192 647,58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2 398 261,07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 текущий ремонт объектов муниципальной собственности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3 246 996,76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286 685,52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684 055,05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344 038,90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822 808,72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1 012 756,61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3 246 996,76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286 685,52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684 055,05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344 038,90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822 808,72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1 012 756,61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3.1.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 ремонт нежилых помещений по ул.Комсомлльская.д.17 пом. 114-115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3.2.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  ремонт жилых помещений по ул.Комсомлльская.д.2 кв.38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160 000,00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160 000,00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160 000,00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160 000,00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3.3.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 ремонт жилых помещений  по ул.Ленина.д.16 кв.1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188 737,16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188 737,16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188 737,16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188 737,16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3.4.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 ремонт  жилого помещения по ул.Молодежная.д.8 кв.17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186 017,26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32 620,36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153 396,90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186 017,26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32 620,36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153 396,90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3.5.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ул.Таежная,д.10 кв.17 (архив)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казенное учреждение «Управление материально-технического обеспечения»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362 646,00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65 328,00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297 318,00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362 646,00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65 328,00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297 318,00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3.6.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ул.Бакинская,д.11 (1,2) 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524 055,05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524 055,05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524 055,05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524 055,05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3.7.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 Таежная ,д.12 кв.97,98 (1,2)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190 642,00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190 642,00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190 642,00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190 642,00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3.8.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ул.Молодежная,,д.11 кв.44 (1.,2)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94 831,20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94 831,20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94 831,20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94 831,20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3.9.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ул.Ленина,,д.1 кв.114 (1.,2)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430 659,52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430 659,52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430 659,52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430 659,52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none" w:color="000000" w:sz="4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3.10.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ул.Молодежная,д.1 кв.91 (1.,2)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none" w:color="000000" w:sz="4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none" w:color="000000" w:sz="4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none" w:color="000000" w:sz="4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none" w:color="000000" w:sz="4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3.11.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ул.Харьковская,д.8 кв.15 (1.,2)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3.12.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ул.Комсомольская,д.5 кв.61 (2)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40 000,00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3.13.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ул.Мира,д.3 кв.15 (2)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146 789,76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146 789,76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146 789,76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146 789,76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3.14.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Капитальный/текущий ремонт  жилых помещений по ул.Ленина,д.7 кв.17 (2)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 / 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825 966,85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825 966,85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825 966,85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825 966,85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Инвестиции в объекты муниципальной собственности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  по муниципальной программе 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30 056 425,45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4 124 773,63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3 360 157,83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2 682 316,06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3 254 536,67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7 797 502,14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4 188 639,12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30 056 425,45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4 124 773,63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3 360 157,83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2 682 316,06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3 254 536,67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7 797 502,14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4 188 639,12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b/>
                <w:bCs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Прочие расходы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30 056 425,45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4 124 773,63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3 360 157,83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2 682 316,06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3 254 536,67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7 797 502,14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4 188 639,12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30 056 425,45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4 124 773,63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3 360 157,83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2 682 316,06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3 254 536,67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7 797 502,14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4 188 639,12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tcBorders>
              <w:top w:val="none" w:color="000000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 том числе: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Комитет по управлению муниципальным имуществом администрации города Покачи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21 729 428,69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3 838 088,11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2 676 102,78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2 338 277,16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2 351 727,95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2 700 850,18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3 175 882,51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21 729 428,69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3 838 088,11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2 676 102,78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2 338 277,16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2 351 727,95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2 700 850,18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3 175 882,51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789 805,00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771 739,00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270"/>
        </w:trPr>
        <w:tblPrEx/>
        <w:tc>
          <w:tcPr>
            <w:tcW w:w="582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560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Муниципальное учреждение «Управление капитального строительства»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1275" w:type="dxa"/>
            <w:vMerge w:val="restart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8 326 996,76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286 685,52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684 055,05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344 038,90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902 808,72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5 096 651,96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1 012 756,61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федеральный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780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бюджет автономного округа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52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местный бюджет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8 326 996,76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286 685,52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684 055,05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344 038,90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902 808,72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5 096 651,96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1 012 756,61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  <w:tr>
        <w:trPr>
          <w:trHeight w:val="1035"/>
        </w:trPr>
        <w:tblPrEx/>
        <w:tc>
          <w:tcPr>
            <w:tcW w:w="582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560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1275" w:type="dxa"/>
            <w:vMerge w:val="continue"/>
            <w:tcBorders>
              <w:top w:val="none" w:color="000000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noWrap w:val="false"/>
            <w:textDirection w:val="lrTb"/>
            <w:vAlign w:val="center"/>
          </w:tcPr>
          <w:p>
            <w:pPr>
              <w:widowControl/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  <w:r>
              <w:rPr>
                <w:rFonts w:ascii="Times New Roman" w:hAnsi="Times New Roman" w:eastAsia="Times New Roman"/>
                <w:color w:val="000000"/>
                <w:sz w:val="14"/>
                <w:szCs w:val="14"/>
                <w:lang w:eastAsia="ru-RU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both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иные источники финансирования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33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1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92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1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908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67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50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845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tcBorders>
              <w:top w:val="none" w:color="000000" w:sz="4" w:space="0"/>
              <w:left w:val="none" w:color="000000" w:sz="4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4"/>
                <w:szCs w:val="14"/>
                <w:u w:val="none"/>
                <w:vertAlign w:val="baseline"/>
              </w:rPr>
              <w:t xml:space="preserve">0,00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</w:tr>
    </w:tbl>
    <w:p>
      <w:pPr>
        <w:jc w:val="center"/>
        <w:outlineLvl w:val="1"/>
        <w:rPr>
          <w:rFonts w:ascii="Times New Roman" w:hAnsi="Times New Roman" w:eastAsia="Times New Roman"/>
          <w:color w:val="000000"/>
          <w:sz w:val="24"/>
          <w:lang w:eastAsia="ru-RU"/>
        </w:rPr>
      </w:pPr>
      <w:r>
        <w:rPr>
          <w:rFonts w:ascii="Times New Roman" w:hAnsi="Times New Roman" w:eastAsia="Times New Roman"/>
          <w:color w:val="000000"/>
          <w:sz w:val="24"/>
          <w:lang w:eastAsia="ru-RU"/>
        </w:rPr>
      </w:r>
      <w:r>
        <w:rPr>
          <w:rFonts w:ascii="Times New Roman" w:hAnsi="Times New Roman" w:eastAsia="Times New Roman"/>
          <w:color w:val="000000"/>
          <w:sz w:val="24"/>
          <w:lang w:eastAsia="ru-RU"/>
        </w:rPr>
      </w:r>
    </w:p>
    <w:p>
      <w:pPr>
        <w:jc w:val="center"/>
        <w:outlineLvl w:val="1"/>
        <w:rPr>
          <w:rFonts w:ascii="Times New Roman" w:hAnsi="Times New Roman" w:eastAsia="Times New Roman"/>
          <w:color w:val="000000"/>
          <w:sz w:val="24"/>
          <w:lang w:eastAsia="ru-RU"/>
        </w:rPr>
      </w:pPr>
      <w:r>
        <w:rPr>
          <w:rFonts w:ascii="Times New Roman" w:hAnsi="Times New Roman" w:eastAsia="Times New Roman"/>
          <w:color w:val="000000"/>
          <w:sz w:val="24"/>
          <w:lang w:eastAsia="ru-RU"/>
        </w:rPr>
      </w:r>
      <w:r>
        <w:rPr>
          <w:rFonts w:ascii="Times New Roman" w:hAnsi="Times New Roman" w:eastAsia="Times New Roman"/>
          <w:color w:val="000000"/>
          <w:sz w:val="24"/>
          <w:lang w:eastAsia="ru-RU"/>
        </w:rPr>
      </w:r>
    </w:p>
    <w:p>
      <w:pPr>
        <w:jc w:val="center"/>
        <w:outlineLvl w:val="1"/>
        <w:rPr>
          <w:rFonts w:ascii="Times New Roman" w:hAnsi="Times New Roman" w:eastAsia="Times New Roman"/>
          <w:color w:val="000000"/>
          <w:sz w:val="24"/>
          <w:lang w:eastAsia="ru-RU"/>
        </w:rPr>
      </w:pPr>
      <w:bookmarkStart w:id="2" w:name="_GoBack"/>
      <w:bookmarkEnd w:id="2"/>
      <w:r>
        <w:rPr>
          <w:rFonts w:ascii="Times New Roman" w:hAnsi="Times New Roman" w:eastAsia="Times New Roman"/>
          <w:color w:val="000000"/>
          <w:sz w:val="24"/>
          <w:lang w:eastAsia="ru-RU"/>
        </w:rPr>
      </w:r>
    </w:p>
    <w:p>
      <w:pPr>
        <w:jc w:val="center"/>
        <w:outlineLvl w:val="1"/>
        <w:rPr>
          <w:rFonts w:ascii="Times New Roman" w:hAnsi="Times New Roman" w:eastAsia="Times New Roman"/>
          <w:color w:val="000000"/>
          <w:sz w:val="24"/>
          <w:lang w:eastAsia="ru-RU"/>
        </w:rPr>
      </w:pPr>
      <w:r>
        <w:rPr>
          <w:rFonts w:ascii="Times New Roman" w:hAnsi="Times New Roman" w:eastAsia="Times New Roman"/>
          <w:color w:val="000000"/>
          <w:sz w:val="24"/>
          <w:lang w:eastAsia="ru-RU"/>
        </w:rPr>
      </w:r>
      <w:r>
        <w:rPr>
          <w:rFonts w:ascii="Times New Roman" w:hAnsi="Times New Roman" w:eastAsia="Times New Roman"/>
          <w:color w:val="000000"/>
          <w:sz w:val="24"/>
          <w:lang w:eastAsia="ru-RU"/>
        </w:rPr>
      </w:r>
    </w:p>
    <w:p>
      <w:pPr>
        <w:pStyle w:val="771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71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</w:t>
      </w:r>
      <w:r>
        <w:rPr>
          <w:rFonts w:ascii="Times New Roman" w:hAnsi="Times New Roman" w:cs="Times New Roman"/>
        </w:rPr>
        <w:t xml:space="preserve">аблица</w:t>
      </w:r>
      <w:r>
        <w:rPr>
          <w:rFonts w:ascii="Times New Roman" w:hAnsi="Times New Roman" w:cs="Times New Roman"/>
        </w:rPr>
        <w:t xml:space="preserve"> 3</w:t>
      </w:r>
      <w:r>
        <w:rPr>
          <w:rFonts w:ascii="Times New Roman" w:hAnsi="Times New Roman" w:cs="Times New Roman"/>
        </w:rPr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Перечень структурных элементов (основных мероприятий) муниципальной программы</w:t>
      </w:r>
      <w:r>
        <w:rPr>
          <w:rFonts w:ascii="Times New Roman" w:hAnsi="Times New Roman"/>
          <w:sz w:val="24"/>
        </w:rPr>
      </w:r>
    </w:p>
    <w:p>
      <w:pPr>
        <w:ind w:left="142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</w: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864"/>
        <w:gridCol w:w="3701"/>
        <w:gridCol w:w="4947"/>
        <w:gridCol w:w="3841"/>
      </w:tblGrid>
      <w:tr>
        <w:trPr/>
        <w:tblPrEx/>
        <w:tc>
          <w:tcPr>
            <w:tcW w:w="286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№ структурного элемента </w:t>
            </w:r>
            <w:r>
              <w:rPr>
                <w:rFonts w:ascii="Times New Roman" w:hAnsi="Times New Roman"/>
                <w:szCs w:val="20"/>
              </w:rPr>
            </w:r>
          </w:p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(основного мероприятия) &lt;1&gt;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701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Наименование структурного элемента</w:t>
            </w:r>
            <w:r>
              <w:rPr>
                <w:rFonts w:ascii="Times New Roman" w:hAnsi="Times New Roman"/>
                <w:szCs w:val="20"/>
              </w:rPr>
            </w:r>
          </w:p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(основного мероприятия)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494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Направление расходов структурного элемента (основного мероприятия)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841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Наименование порядка, номер приложения (при наличии)</w:t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286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701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2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494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3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841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4</w:t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15353" w:type="dxa"/>
            <w:gridSpan w:val="4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Цель: Формирование эффективной системы управления и распоряжения имуществом, находящимся в собственности города Покачи, и земельными участками, государственная собственность на которые не разграничена.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/>
        <w:tblPrEx/>
        <w:tc>
          <w:tcPr>
            <w:tcW w:w="15353" w:type="dxa"/>
            <w:gridSpan w:val="4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Задача: </w:t>
            </w:r>
            <w:r>
              <w:rPr>
                <w:rFonts w:ascii="Times New Roman" w:hAnsi="Times New Roman" w:cs="Times New Roman"/>
              </w:rPr>
              <w:t xml:space="preserve">Совершенствование системы управления муниципальным имуществом города Покачи и земельными участками, государственная собственность на которые не разграничена.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15353" w:type="dxa"/>
            <w:gridSpan w:val="4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Основные мероприятия </w:t>
            </w:r>
            <w:r>
              <w:rPr>
                <w:rFonts w:ascii="Times New Roman" w:hAnsi="Times New Roman"/>
                <w:szCs w:val="20"/>
              </w:rPr>
              <w:t xml:space="preserve"> &lt;2&gt;</w:t>
            </w:r>
            <w:r>
              <w:rPr>
                <w:rFonts w:ascii="Times New Roman" w:hAnsi="Times New Roman"/>
                <w:szCs w:val="20"/>
              </w:rPr>
              <w:t xml:space="preserve"> </w:t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286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  <w:t xml:space="preserve">.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701" w:type="dxa"/>
            <w:shd w:val="clear" w:color="auto" w:fill="auto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Управление объектами муниципального имущества и земельными участками, государственная собственность на которые не разграничена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4947" w:type="dxa"/>
            <w:shd w:val="clear" w:color="auto" w:fill="ffffff" w:themeFill="background1"/>
            <w:noWrap w:val="false"/>
            <w:textDirection w:val="lrTb"/>
          </w:tcPr>
          <w:p>
            <w:pPr>
              <w:pStyle w:val="786"/>
              <w:tabs>
                <w:tab w:val="left" w:pos="1134" w:leader="none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Определение целей управления объектами муниципального имущества и земельными участками, государственная собственность на которые не разграничена.</w:t>
            </w:r>
            <w:r>
              <w:rPr>
                <w:sz w:val="20"/>
                <w:szCs w:val="20"/>
              </w:rPr>
            </w:r>
          </w:p>
          <w:p>
            <w:pPr>
              <w:pStyle w:val="786"/>
              <w:tabs>
                <w:tab w:val="left" w:pos="459" w:leader="none"/>
              </w:tabs>
              <w:spacing w:before="0" w:beforeAutospacing="0" w:after="0" w:afterAutospacing="0"/>
              <w:ind w:left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Оптимизация сети, состава  и структуры имущества  учреждений, унитарных предприятий  и  муниципальной казны.</w:t>
            </w:r>
            <w:r>
              <w:rPr>
                <w:sz w:val="20"/>
                <w:szCs w:val="20"/>
              </w:rPr>
            </w:r>
          </w:p>
          <w:p>
            <w:pPr>
              <w:pStyle w:val="786"/>
              <w:tabs>
                <w:tab w:val="left" w:pos="459" w:leader="none"/>
              </w:tabs>
              <w:spacing w:before="0" w:beforeAutospacing="0" w:after="0" w:afterAutospacing="0"/>
              <w:ind w:left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Эффективное управление муниципальным имуществом и земельными участками, государственная собственность на которые не разграничена</w:t>
            </w:r>
            <w:r>
              <w:rPr>
                <w:color w:val="ff0000"/>
                <w:sz w:val="20"/>
                <w:szCs w:val="20"/>
              </w:rPr>
              <w:t xml:space="preserve">,</w:t>
            </w:r>
            <w:r>
              <w:rPr>
                <w:sz w:val="20"/>
                <w:szCs w:val="20"/>
              </w:rPr>
            </w:r>
          </w:p>
          <w:p>
            <w:pPr>
              <w:pStyle w:val="786"/>
              <w:tabs>
                <w:tab w:val="left" w:pos="459" w:leader="none"/>
              </w:tabs>
              <w:spacing w:before="0" w:beforeAutospacing="0" w:after="0" w:afterAutospacing="0"/>
              <w:ind w:left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Обеспечение контроля,  сохранности муниципального имущества и иной защиты имущественных интересов города Покачи.</w:t>
            </w:r>
            <w:r>
              <w:rPr>
                <w:sz w:val="20"/>
                <w:szCs w:val="20"/>
              </w:rPr>
            </w:r>
          </w:p>
          <w:p>
            <w:pPr>
              <w:pStyle w:val="786"/>
              <w:tabs>
                <w:tab w:val="left" w:pos="459" w:leader="none"/>
              </w:tabs>
              <w:spacing w:before="0" w:beforeAutospacing="0" w:after="0" w:afterAutospacing="0"/>
              <w:ind w:left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Совершенствование системы учета и мониторинга  муниципального  имущества;</w:t>
            </w:r>
            <w:r>
              <w:rPr>
                <w:sz w:val="20"/>
                <w:szCs w:val="20"/>
              </w:rPr>
            </w:r>
          </w:p>
          <w:p>
            <w:pPr>
              <w:pStyle w:val="786"/>
              <w:tabs>
                <w:tab w:val="left" w:pos="459" w:leader="none"/>
              </w:tabs>
              <w:spacing w:before="0" w:beforeAutospacing="0" w:after="0" w:afterAutospacing="0"/>
              <w:ind w:left="3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Совершенствование и актуализация  общедоступного   информационного ресурса в сфере управления и распоряжения имуществом, находящимся в собственности города Покачи.</w:t>
            </w:r>
            <w:r>
              <w:rPr>
                <w:sz w:val="20"/>
                <w:szCs w:val="20"/>
              </w:rPr>
            </w:r>
          </w:p>
          <w:p>
            <w:pPr>
              <w:pStyle w:val="767"/>
              <w:jc w:val="both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 xml:space="preserve">7</w:t>
            </w:r>
            <w:r>
              <w:rPr>
                <w:rFonts w:ascii="Times New Roman" w:hAnsi="Times New Roman" w:cs="Times New Roman"/>
                <w:bCs/>
                <w:sz w:val="20"/>
              </w:rPr>
              <w:t xml:space="preserve">. Предоставление имущественной поддержки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</w:rPr>
              <w:t xml:space="preserve">субъектам малого и среднего предпринимательства, физическим</w:t>
            </w:r>
            <w:r>
              <w:rPr>
                <w:rFonts w:ascii="Times New Roman" w:hAnsi="Times New Roman" w:cs="Times New Roman"/>
                <w:bCs/>
                <w:sz w:val="20"/>
              </w:rPr>
              <w:t xml:space="preserve"> лицам, применяющим специальный налоговый режим «Налог на профессиональный доход», субъектам креативных индустрий (юридическим лицам и индивидуальным предпринимателям), субъектам малого и среднего предпринимательства, признанным социальными предприятиями и</w:t>
            </w:r>
            <w:r>
              <w:rPr>
                <w:rFonts w:ascii="Times New Roman" w:hAnsi="Times New Roman" w:cs="Times New Roman"/>
                <w:sz w:val="20"/>
                <w:lang w:eastAsia="en-US"/>
              </w:rPr>
              <w:t xml:space="preserve"> социально ориентированным некоммерческим организациям путем предоставления муниципального имущества во владение и (или) пользование на льготных условиях</w:t>
            </w:r>
            <w:r>
              <w:rPr>
                <w:rFonts w:ascii="Times New Roman" w:hAnsi="Times New Roman" w:cs="Times New Roman"/>
                <w:bCs/>
                <w:sz w:val="20"/>
              </w:rPr>
              <w:t xml:space="preserve">.</w:t>
            </w:r>
            <w:r>
              <w:rPr>
                <w:rFonts w:ascii="Times New Roman" w:hAnsi="Times New Roman" w:cs="Times New Roman"/>
                <w:bCs/>
                <w:sz w:val="20"/>
              </w:rPr>
            </w:r>
          </w:p>
          <w:p>
            <w:pPr>
              <w:pStyle w:val="76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  <w:r>
              <w:rPr>
                <w:rFonts w:ascii="Times New Roman" w:hAnsi="Times New Roman"/>
                <w:sz w:val="20"/>
              </w:rPr>
            </w:r>
          </w:p>
        </w:tc>
        <w:tc>
          <w:tcPr>
            <w:tcW w:w="3841" w:type="dxa"/>
            <w:shd w:val="clear" w:color="auto" w:fill="auto"/>
            <w:noWrap w:val="false"/>
            <w:textDirection w:val="lrTb"/>
          </w:tcPr>
          <w:p>
            <w:pPr>
              <w:jc w:val="right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286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2.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701" w:type="dxa"/>
            <w:shd w:val="clear" w:color="auto" w:fill="auto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Содержание муниципального имущества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4947" w:type="dxa"/>
            <w:shd w:val="clear" w:color="auto" w:fill="auto"/>
            <w:noWrap w:val="false"/>
            <w:textDirection w:val="lrTb"/>
          </w:tcPr>
          <w:p>
            <w:pPr>
              <w:pStyle w:val="767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1. Планирование и реализация</w:t>
            </w:r>
            <w:r>
              <w:rPr>
                <w:rFonts w:ascii="Times New Roman" w:hAnsi="Times New Roman" w:cs="Times New Roman"/>
                <w:color w:val="000000"/>
                <w:sz w:val="20"/>
              </w:rPr>
              <w:t xml:space="preserve"> средств местного бюджета на содержание</w:t>
            </w:r>
            <w:r>
              <w:rPr>
                <w:rFonts w:ascii="Times New Roman" w:hAnsi="Times New Roman" w:cs="Times New Roman"/>
                <w:sz w:val="20"/>
              </w:rPr>
              <w:t xml:space="preserve"> объектов муниципальной собственности.</w:t>
            </w:r>
            <w:r>
              <w:rPr>
                <w:rFonts w:ascii="Times New Roman" w:hAnsi="Times New Roman" w:cs="Times New Roman"/>
                <w:sz w:val="20"/>
              </w:rPr>
            </w:r>
          </w:p>
          <w:p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2. Обеспечение содержания муниципального имущества.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841" w:type="dxa"/>
            <w:shd w:val="clear" w:color="auto" w:fill="auto"/>
            <w:noWrap w:val="false"/>
            <w:textDirection w:val="lrTb"/>
          </w:tcPr>
          <w:p>
            <w:pPr>
              <w:jc w:val="right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286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3.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701" w:type="dxa"/>
            <w:shd w:val="clear" w:color="auto" w:fill="auto"/>
            <w:noWrap w:val="false"/>
            <w:textDirection w:val="lrTb"/>
          </w:tcPr>
          <w:p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Капитальный/ текущий ремонт объектов муниципальной собственности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4947" w:type="dxa"/>
            <w:shd w:val="clear" w:color="auto" w:fill="auto"/>
            <w:noWrap w:val="false"/>
            <w:textDirection w:val="lrTb"/>
          </w:tcPr>
          <w:p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Проведение капит</w:t>
            </w:r>
            <w:r>
              <w:rPr>
                <w:rFonts w:ascii="Times New Roman" w:hAnsi="Times New Roman"/>
                <w:szCs w:val="20"/>
              </w:rPr>
              <w:t xml:space="preserve">ального/текущего ремонта объектов муниципальной собственности  города Покачи соисполнителем муниципальной программы муниципальным учреждением «Управление капитального строительства» согласно, заключенным контрактам и договорам на проведение ремонтных работ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3841" w:type="dxa"/>
            <w:shd w:val="clear" w:color="auto" w:fill="auto"/>
            <w:noWrap w:val="false"/>
            <w:textDirection w:val="lrTb"/>
          </w:tcPr>
          <w:p>
            <w:pPr>
              <w:jc w:val="right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</w:r>
          </w:p>
        </w:tc>
      </w:tr>
    </w:tbl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Таблица 4</w:t>
      </w:r>
      <w:r>
        <w:rPr>
          <w:rFonts w:ascii="Times New Roman" w:hAnsi="Times New Roman"/>
          <w:szCs w:val="20"/>
        </w:rPr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Перечень</w:t>
      </w:r>
      <w:r>
        <w:rPr>
          <w:rFonts w:ascii="Times New Roman" w:hAnsi="Times New Roman"/>
          <w:sz w:val="24"/>
        </w:rPr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</w:t>
      </w:r>
      <w:r>
        <w:rPr>
          <w:rFonts w:ascii="Times New Roman" w:hAnsi="Times New Roman"/>
          <w:sz w:val="24"/>
        </w:rPr>
        <w:t xml:space="preserve">еализуемых объектов на 20</w:t>
      </w:r>
      <w:r>
        <w:rPr>
          <w:rFonts w:ascii="Times New Roman" w:hAnsi="Times New Roman"/>
          <w:sz w:val="24"/>
        </w:rPr>
        <w:t xml:space="preserve">22 </w:t>
      </w:r>
      <w:r>
        <w:rPr>
          <w:rFonts w:ascii="Times New Roman" w:hAnsi="Times New Roman"/>
          <w:sz w:val="24"/>
        </w:rPr>
        <w:t xml:space="preserve">год и на плановый период 20</w:t>
      </w:r>
      <w:r>
        <w:rPr>
          <w:rFonts w:ascii="Times New Roman" w:hAnsi="Times New Roman"/>
          <w:sz w:val="24"/>
        </w:rPr>
        <w:t xml:space="preserve">23</w:t>
      </w:r>
      <w:r>
        <w:rPr>
          <w:rFonts w:ascii="Times New Roman" w:hAnsi="Times New Roman"/>
          <w:sz w:val="24"/>
        </w:rPr>
        <w:t xml:space="preserve"> и 20</w:t>
      </w:r>
      <w:r>
        <w:rPr>
          <w:rFonts w:ascii="Times New Roman" w:hAnsi="Times New Roman"/>
          <w:sz w:val="24"/>
        </w:rPr>
        <w:t xml:space="preserve">24 </w:t>
      </w:r>
      <w:r>
        <w:rPr>
          <w:rFonts w:ascii="Times New Roman" w:hAnsi="Times New Roman"/>
          <w:sz w:val="24"/>
        </w:rPr>
        <w:t xml:space="preserve">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муниципально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частном партнерстве и концессионными соглашениями</w:t>
      </w:r>
      <w:r>
        <w:rPr>
          <w:rFonts w:ascii="Times New Roman" w:hAnsi="Times New Roman"/>
          <w:sz w:val="24"/>
        </w:rPr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tbl>
      <w:tblPr>
        <w:tblW w:w="154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755"/>
        <w:gridCol w:w="709"/>
        <w:gridCol w:w="851"/>
        <w:gridCol w:w="1134"/>
        <w:gridCol w:w="992"/>
        <w:gridCol w:w="709"/>
        <w:gridCol w:w="567"/>
        <w:gridCol w:w="567"/>
        <w:gridCol w:w="567"/>
        <w:gridCol w:w="567"/>
        <w:gridCol w:w="708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851"/>
        <w:gridCol w:w="850"/>
      </w:tblGrid>
      <w:tr>
        <w:trPr>
          <w:trHeight w:val="414"/>
        </w:trPr>
        <w:tblPrEx/>
        <w:tc>
          <w:tcPr>
            <w:tcW w:w="487" w:type="dxa"/>
            <w:vMerge w:val="restart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№  п/п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55" w:type="dxa"/>
            <w:vMerge w:val="restart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Наименование объекта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Мощность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vMerge w:val="restart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Срок строительства, проектирования (характер работ)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Merge w:val="restart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Расчетная стоимость объекта в ценах соответствующих лет с учетом периода реализации проекта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992" w:type="dxa"/>
            <w:vMerge w:val="restart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Остаток стоимости на 01.01.20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977" w:type="dxa"/>
            <w:gridSpan w:val="5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Инвестиции на 20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22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год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976" w:type="dxa"/>
            <w:gridSpan w:val="5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Инвестиции на 20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23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год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2835" w:type="dxa"/>
            <w:gridSpan w:val="5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Инвестиции на 20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24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год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vMerge w:val="restart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Механизм реализации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Merge w:val="restart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Заказчик по строительству (приобретению)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rPr>
          <w:trHeight w:val="1412"/>
        </w:trPr>
        <w:tblPrEx/>
        <w:tc>
          <w:tcPr>
            <w:tcW w:w="487" w:type="dxa"/>
            <w:vMerge w:val="continue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55" w:type="dxa"/>
            <w:vMerge w:val="continue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vMerge w:val="continue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vMerge w:val="continue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992" w:type="dxa"/>
            <w:vMerge w:val="continue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всего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федеральный бюджет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бюджет автономного округа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местный бюджет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иные средства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всего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федеральный бюджет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бюджет автономного округа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местный бюджет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иные средства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всего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федеральный бюджет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бюджет автономного округа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местный бюджет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иные средства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vMerge w:val="continue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vMerge w:val="continue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rPr>
          <w:trHeight w:val="389"/>
        </w:trPr>
        <w:tblPrEx/>
        <w:tc>
          <w:tcPr>
            <w:tcW w:w="48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55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992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rPr>
          <w:trHeight w:val="693"/>
        </w:trPr>
        <w:tblPrEx/>
        <w:tc>
          <w:tcPr>
            <w:tcW w:w="3936" w:type="dxa"/>
            <w:gridSpan w:val="5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Всего в том числе: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992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0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rPr>
          <w:trHeight w:val="419"/>
        </w:trPr>
        <w:tblPrEx/>
        <w:tc>
          <w:tcPr>
            <w:tcW w:w="48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55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992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1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0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</w:tr>
      <w:tr>
        <w:trPr>
          <w:trHeight w:val="424"/>
        </w:trPr>
        <w:tblPrEx/>
        <w:tc>
          <w:tcPr>
            <w:tcW w:w="48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55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992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1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0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</w:tr>
      <w:tr>
        <w:trPr>
          <w:trHeight w:val="403"/>
        </w:trPr>
        <w:tblPrEx/>
        <w:tc>
          <w:tcPr>
            <w:tcW w:w="48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55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992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9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567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1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  <w:tc>
          <w:tcPr>
            <w:tcW w:w="850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 xml:space="preserve">-</w:t>
            </w:r>
          </w:p>
        </w:tc>
      </w:tr>
    </w:tbl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Таблица </w:t>
      </w:r>
      <w:r>
        <w:rPr>
          <w:rFonts w:ascii="Times New Roman" w:hAnsi="Times New Roman"/>
          <w:szCs w:val="20"/>
        </w:rPr>
        <w:t xml:space="preserve">5</w:t>
      </w:r>
      <w:r>
        <w:rPr>
          <w:rFonts w:ascii="Times New Roman" w:hAnsi="Times New Roman"/>
          <w:szCs w:val="20"/>
        </w:rPr>
      </w:r>
    </w:p>
    <w:p>
      <w:pPr>
        <w:pStyle w:val="771"/>
        <w:tabs>
          <w:tab w:val="left" w:pos="709" w:leader="none"/>
          <w:tab w:val="left" w:pos="993" w:leader="none"/>
          <w:tab w:val="left" w:pos="1276" w:leader="none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71"/>
        <w:tabs>
          <w:tab w:val="left" w:pos="709" w:leader="none"/>
          <w:tab w:val="left" w:pos="993" w:leader="none"/>
          <w:tab w:val="left" w:pos="1276" w:leader="none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объектов капитального строительства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71"/>
        <w:tabs>
          <w:tab w:val="left" w:pos="709" w:leader="none"/>
          <w:tab w:val="left" w:pos="993" w:leader="none"/>
          <w:tab w:val="left" w:pos="1276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151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859"/>
        <w:gridCol w:w="2667"/>
        <w:gridCol w:w="1999"/>
        <w:gridCol w:w="2533"/>
        <w:gridCol w:w="2800"/>
        <w:gridCol w:w="4297"/>
      </w:tblGrid>
      <w:tr>
        <w:trPr>
          <w:trHeight w:val="1187"/>
        </w:trPr>
        <w:tblPrEx/>
        <w:tc>
          <w:tcPr>
            <w:tcW w:w="85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6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объекта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(инвестиционного проекта)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Мощность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533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строительства, проектирования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(приобретения)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800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Механизм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(источник финансирования)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9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показателя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163"/>
        </w:trPr>
        <w:tblPrEx/>
        <w:tc>
          <w:tcPr>
            <w:tcW w:w="85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6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533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800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9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91"/>
        </w:trPr>
        <w:tblPrEx/>
        <w:tc>
          <w:tcPr>
            <w:tcW w:w="85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6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533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800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9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91"/>
        </w:trPr>
        <w:tblPrEx/>
        <w:tc>
          <w:tcPr>
            <w:tcW w:w="85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6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533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800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9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91"/>
        </w:trPr>
        <w:tblPrEx/>
        <w:tc>
          <w:tcPr>
            <w:tcW w:w="85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6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9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533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800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97" w:type="dxa"/>
            <w:noWrap w:val="false"/>
            <w:textDirection w:val="lrTb"/>
          </w:tcPr>
          <w:p>
            <w:pPr>
              <w:pStyle w:val="771"/>
              <w:tabs>
                <w:tab w:val="left" w:pos="709" w:leader="none"/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Таблица </w:t>
      </w:r>
      <w:r>
        <w:rPr>
          <w:rFonts w:ascii="Times New Roman" w:hAnsi="Times New Roman"/>
          <w:szCs w:val="20"/>
        </w:rPr>
        <w:t xml:space="preserve">6</w:t>
      </w:r>
      <w:r>
        <w:rPr>
          <w:rFonts w:ascii="Times New Roman" w:hAnsi="Times New Roman"/>
          <w:szCs w:val="20"/>
        </w:rPr>
      </w:r>
    </w:p>
    <w:p>
      <w:pPr>
        <w:ind w:firstLine="708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Показатели,</w:t>
      </w:r>
      <w:r>
        <w:rPr>
          <w:rFonts w:ascii="Times New Roman" w:hAnsi="Times New Roman"/>
          <w:sz w:val="24"/>
        </w:rPr>
      </w:r>
    </w:p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характеризующие эффективность структурного элемента (основного мероприятия) муниципальной программы</w:t>
      </w:r>
      <w:r>
        <w:rPr>
          <w:rFonts w:ascii="Times New Roman" w:hAnsi="Times New Roman"/>
          <w:sz w:val="24"/>
        </w:rPr>
      </w:r>
    </w:p>
    <w:tbl>
      <w:tblPr>
        <w:tblW w:w="152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650"/>
        <w:gridCol w:w="2745"/>
        <w:gridCol w:w="1796"/>
        <w:gridCol w:w="586"/>
        <w:gridCol w:w="709"/>
        <w:gridCol w:w="709"/>
        <w:gridCol w:w="709"/>
        <w:gridCol w:w="568"/>
        <w:gridCol w:w="708"/>
        <w:gridCol w:w="709"/>
        <w:gridCol w:w="709"/>
        <w:gridCol w:w="709"/>
        <w:gridCol w:w="708"/>
        <w:gridCol w:w="709"/>
        <w:gridCol w:w="851"/>
        <w:gridCol w:w="1701"/>
      </w:tblGrid>
      <w:tr>
        <w:trPr>
          <w:trHeight w:val="873"/>
        </w:trPr>
        <w:tblPrEx/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7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показателя&lt;*&gt;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17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Базовый показатель на начало реализации муниципальной программы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838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Значения показателя по годам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1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показателя на момент окончания действия муниципальной программы</w:t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rPr>
          <w:trHeight w:val="775"/>
        </w:trPr>
        <w:tblPrEx/>
        <w:tc>
          <w:tcPr>
            <w:tcW w:w="650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745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1796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586" w:type="dxa"/>
            <w:tcBorders>
              <w:top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2019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2020</w:t>
            </w: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2021</w:t>
            </w: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2022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568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2023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2024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2025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2026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2027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2028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2029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2030</w:t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1701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7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568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8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11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13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14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16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Удельный вес незакрепленного недвижимого имущества в общем количестве недвижимого имущества города Покачи, %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(Уни = (Фни / Ни) * 100)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13,2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12,3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13,76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12,64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10,9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10,5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10,5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10,5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10,5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1.1.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Фактическое количество незакрепленного недвижимого имущества (за исключением земельных участков) (Фни), ед.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129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119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96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91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91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1.2.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Общее количество недвижимого имущества (за исключением земельных участков) (Ни), ед.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977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977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865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870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880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905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905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910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910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910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910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910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 xml:space="preserve">Количество объектов муниципальной собственности,  в которых проведен капитальный/текущий ремонт, объект «2»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3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2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3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0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16</w:t>
            </w:r>
            <w:r>
              <w:rPr>
                <w:rFonts w:ascii="Times New Roman" w:hAnsi="Times New Roman"/>
                <w:szCs w:val="20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Доля сданных в аренду субъектам малого и среднего предпринимательства, ор</w:t>
            </w:r>
            <w:r>
              <w:rPr>
                <w:rFonts w:ascii="Times New Roman" w:hAnsi="Times New Roman" w:cs="Times New Roman"/>
              </w:rPr>
              <w:t xml:space="preserve">ганизациям, образующим инфраструктуру поддержки субъектов малого и среднего предпринимательства, недвижимого имущества, включенного в перечень муниципального имущества в общем количестве объектов недвижимого имущества, включенных в указанный перечень % «3»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7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(Дса = (Фкн / Окн) * 100)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75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75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77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</w:r>
          </w:p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80</w:t>
            </w:r>
            <w:r>
              <w:rPr>
                <w:rFonts w:ascii="Times New Roman" w:hAnsi="Times New Roman"/>
                <w:szCs w:val="20"/>
              </w:rPr>
            </w:r>
          </w:p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60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3.1.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Фактическое количество объектов недвижимого имущества, включенных в перечень, переданных в аренду субъектам малого и среднего предпринимательства, организациям, образующим инфраструктуру поддержки субъектов малого и среднего предпринимательства (Фкн), ед.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6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6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12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9</w:t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3.2.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Общее количество объектов недвижимого имущества, включенных в перечень (Окн), ед.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8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8 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13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Cs w:val="20"/>
              </w:rPr>
              <w:t xml:space="preserve">15</w:t>
            </w:r>
          </w:p>
        </w:tc>
      </w:tr>
      <w:tr>
        <w:trPr/>
        <w:tblPrEx/>
        <w:tc>
          <w:tcPr>
            <w:tcW w:w="650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745" w:type="dxa"/>
            <w:shd w:val="clear" w:color="auto" w:fill="auto"/>
            <w:noWrap w:val="false"/>
            <w:textDirection w:val="lrTb"/>
          </w:tcPr>
          <w:p>
            <w:pPr>
              <w:pStyle w:val="77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Увеличение количества  муници</w:t>
            </w:r>
            <w:r>
              <w:rPr>
                <w:rFonts w:ascii="Times New Roman" w:hAnsi="Times New Roman" w:cs="Times New Roman"/>
              </w:rPr>
              <w:t xml:space="preserve">пального имущества в перечнях муниципального имущества, предназначенных для передачи в аренду  субъектам малого и среднего предпринимательства, организациям, образующим инфраструктуру поддержки субъектов малого и среднего предпринимательств с 0% до 10%.,%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96" w:type="dxa"/>
            <w:shd w:val="clear" w:color="auto" w:fill="auto"/>
            <w:noWrap w:val="false"/>
            <w:textDirection w:val="lrTb"/>
            <w:vAlign w:val="center"/>
          </w:tcPr>
          <w:p>
            <w:pPr>
              <w:pStyle w:val="7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6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-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-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rFonts w:ascii="Times New Roman" w:hAnsi="Times New Roman"/>
                <w:szCs w:val="20"/>
              </w:rPr>
            </w:r>
          </w:p>
        </w:tc>
        <w:tc>
          <w:tcPr>
            <w:tcW w:w="709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568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851" w:type="dxa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szCs w:val="20"/>
              </w:rPr>
            </w:r>
          </w:p>
        </w:tc>
        <w:tc>
          <w:tcPr>
            <w:tcW w:w="1701" w:type="dxa"/>
            <w:shd w:val="clear" w:color="auto" w:fill="auto"/>
            <w:noWrap w:val="false"/>
            <w:textDirection w:val="lrTb"/>
            <w:vAlign w:val="center"/>
          </w:tcPr>
          <w:p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10</w:t>
            </w:r>
            <w:r>
              <w:rPr>
                <w:rFonts w:ascii="Times New Roman" w:hAnsi="Times New Roman"/>
                <w:szCs w:val="20"/>
              </w:rPr>
            </w:r>
          </w:p>
        </w:tc>
      </w:tr>
    </w:tbl>
    <w:p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Таблица </w:t>
      </w:r>
      <w:r>
        <w:rPr>
          <w:rFonts w:ascii="Times New Roman" w:hAnsi="Times New Roman"/>
          <w:szCs w:val="20"/>
        </w:rPr>
        <w:t xml:space="preserve">7</w:t>
      </w:r>
      <w:r>
        <w:rPr>
          <w:rFonts w:ascii="Times New Roman" w:hAnsi="Times New Roman"/>
          <w:szCs w:val="20"/>
        </w:rPr>
      </w:r>
    </w:p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Наказы избирателей</w:t>
      </w:r>
      <w:r>
        <w:rPr>
          <w:rFonts w:ascii="Times New Roman" w:hAnsi="Times New Roman"/>
          <w:sz w:val="24"/>
        </w:rPr>
      </w:r>
    </w:p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276"/>
        <w:gridCol w:w="1134"/>
        <w:gridCol w:w="1275"/>
        <w:gridCol w:w="1276"/>
        <w:gridCol w:w="1985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763"/>
        <w:gridCol w:w="23"/>
      </w:tblGrid>
      <w:tr>
        <w:trPr>
          <w:gridAfter w:val="1"/>
        </w:trPr>
        <w:tblPrEx/>
        <w:tc>
          <w:tcPr>
            <w:tcW w:w="392" w:type="dxa"/>
            <w:vMerge w:val="restart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п/п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961" w:type="dxa"/>
            <w:gridSpan w:val="4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Основание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985" w:type="dxa"/>
            <w:vMerge w:val="restart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Структурные элементы (основные мероприятия) муниципальной программы</w:t>
            </w:r>
            <w:r>
              <w:rPr>
                <w:rFonts w:ascii="Times New Roman" w:hAnsi="Times New Roman"/>
              </w:rPr>
            </w:r>
          </w:p>
        </w:tc>
        <w:tc>
          <w:tcPr>
            <w:tcW w:w="992" w:type="dxa"/>
            <w:vMerge w:val="restart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Сумма всего, руб.</w:t>
            </w:r>
            <w:r>
              <w:rPr>
                <w:rFonts w:ascii="Times New Roman" w:hAnsi="Times New Roman"/>
              </w:rPr>
            </w:r>
          </w:p>
        </w:tc>
        <w:tc>
          <w:tcPr>
            <w:tcW w:w="7000" w:type="dxa"/>
            <w:gridSpan w:val="12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 годам в руб.</w:t>
            </w:r>
            <w:r>
              <w:rPr>
                <w:rFonts w:ascii="Times New Roman" w:hAnsi="Times New Roman"/>
              </w:rPr>
            </w:r>
          </w:p>
        </w:tc>
      </w:tr>
      <w:tr>
        <w:trPr/>
        <w:tblPrEx/>
        <w:tc>
          <w:tcPr>
            <w:tcW w:w="392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127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Нормативный правовой акт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Реквизиты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5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Пункт, подпункт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Содержание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985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992" w:type="dxa"/>
            <w:vMerge w:val="continue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2019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2020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2021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2022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2023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2024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2025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2026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2027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2028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2029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  <w:tc>
          <w:tcPr>
            <w:tcW w:w="78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2030</w:t>
            </w:r>
            <w:r>
              <w:rPr>
                <w:rFonts w:ascii="Times New Roman" w:hAnsi="Times New Roman"/>
                <w:sz w:val="14"/>
                <w:szCs w:val="14"/>
              </w:rPr>
            </w:r>
          </w:p>
        </w:tc>
      </w:tr>
      <w:tr>
        <w:trPr/>
        <w:tblPrEx/>
        <w:tc>
          <w:tcPr>
            <w:tcW w:w="392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5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985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</w:t>
            </w:r>
            <w:r>
              <w:rPr>
                <w:rFonts w:ascii="Times New Roman" w:hAnsi="Times New Roman"/>
              </w:rPr>
            </w:r>
          </w:p>
        </w:tc>
        <w:tc>
          <w:tcPr>
            <w:tcW w:w="992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12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13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14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15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16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18</w:t>
            </w:r>
            <w:r>
              <w:rPr>
                <w:rFonts w:ascii="Times New Roman" w:hAnsi="Times New Roman"/>
              </w:rPr>
            </w:r>
          </w:p>
        </w:tc>
        <w:tc>
          <w:tcPr>
            <w:tcW w:w="786" w:type="dxa"/>
            <w:gridSpan w:val="2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19</w:t>
            </w:r>
            <w:r>
              <w:rPr>
                <w:rFonts w:ascii="Times New Roman" w:hAnsi="Times New Roman"/>
              </w:rPr>
            </w:r>
          </w:p>
        </w:tc>
      </w:tr>
      <w:tr>
        <w:trPr/>
        <w:tblPrEx/>
        <w:tc>
          <w:tcPr>
            <w:tcW w:w="392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134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5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276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1985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992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56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  <w:tc>
          <w:tcPr>
            <w:tcW w:w="786" w:type="dxa"/>
            <w:gridSpan w:val="2"/>
            <w:tcBorders>
              <w:left w:val="single" w:color="auto" w:sz="4" w:space="0"/>
            </w:tcBorders>
            <w:shd w:val="clear" w:color="auto" w:fill="auto"/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</w:tbl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Таблица </w:t>
      </w:r>
      <w:r>
        <w:rPr>
          <w:rFonts w:ascii="Times New Roman" w:hAnsi="Times New Roman"/>
          <w:szCs w:val="20"/>
        </w:rPr>
        <w:t xml:space="preserve">8</w:t>
      </w:r>
      <w:r>
        <w:rPr>
          <w:rFonts w:ascii="Times New Roman" w:hAnsi="Times New Roman"/>
          <w:szCs w:val="20"/>
        </w:rPr>
      </w:r>
    </w:p>
    <w:p>
      <w:pPr>
        <w:tabs>
          <w:tab w:val="left" w:pos="993" w:leader="none"/>
          <w:tab w:val="left" w:pos="1276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tabs>
          <w:tab w:val="left" w:pos="993" w:leader="none"/>
          <w:tab w:val="left" w:pos="1276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План мероприятий</w:t>
      </w:r>
      <w:r>
        <w:rPr>
          <w:rFonts w:ascii="Times New Roman" w:hAnsi="Times New Roman"/>
          <w:sz w:val="24"/>
        </w:rPr>
        <w:t xml:space="preserve">,</w:t>
      </w:r>
      <w:r>
        <w:rPr>
          <w:rFonts w:ascii="Times New Roman" w:hAnsi="Times New Roman"/>
          <w:sz w:val="24"/>
        </w:rPr>
      </w:r>
    </w:p>
    <w:p>
      <w:pPr>
        <w:tabs>
          <w:tab w:val="left" w:pos="993" w:leader="none"/>
          <w:tab w:val="left" w:pos="1276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направленный на достижение значений (уровней) показателей оценки эффективности деятельности исполнительных органов государственной власти</w:t>
      </w:r>
      <w:r>
        <w:rPr>
          <w:rFonts w:ascii="Times New Roman" w:hAnsi="Times New Roman"/>
          <w:sz w:val="24"/>
        </w:rPr>
        <w:t xml:space="preserve"> Ханты-Мансийского</w:t>
      </w:r>
      <w:r>
        <w:rPr>
          <w:rFonts w:ascii="Times New Roman" w:hAnsi="Times New Roman"/>
          <w:sz w:val="24"/>
        </w:rPr>
        <w:t xml:space="preserve"> автономного округа</w:t>
      </w:r>
      <w:r>
        <w:rPr>
          <w:rFonts w:ascii="Times New Roman" w:hAnsi="Times New Roman"/>
          <w:sz w:val="24"/>
        </w:rPr>
        <w:t xml:space="preserve"> - Югры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</w:r>
    </w:p>
    <w:p>
      <w:pPr>
        <w:tabs>
          <w:tab w:val="left" w:pos="993" w:leader="none"/>
          <w:tab w:val="left" w:pos="1276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83"/>
        <w:gridCol w:w="3356"/>
        <w:gridCol w:w="3007"/>
        <w:gridCol w:w="4253"/>
        <w:gridCol w:w="1604"/>
        <w:gridCol w:w="2223"/>
      </w:tblGrid>
      <w:tr>
        <w:trPr>
          <w:trHeight w:val="1090"/>
        </w:trPr>
        <w:tblPrEx/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п/п 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Номер, наименование мероприятия (Приложение 2)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Меры, направленные на достижение значений (уровней) показателей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Наименование портфеля проектов, основанного на национальных и федеральных проектах Российской Федерации &lt;*&gt;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Ответственный исполнитель/соисполнитель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2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Контрольное событие (промежуточный результат)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5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2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150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Наименование показателя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150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Задача № 1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&lt;**&gt;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08"/>
        </w:trPr>
        <w:tblPrEx/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1.1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2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1.2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2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150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Задача № 2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&lt;**&gt;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2.1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2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5"/>
        </w:trPr>
        <w:tblPrEx/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2.2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2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tabs>
                <w:tab w:val="left" w:pos="993" w:leader="none"/>
                <w:tab w:val="left" w:pos="1276" w:leader="none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</w:r>
      <w:r>
        <w:rPr>
          <w:rFonts w:ascii="Times New Roman" w:hAnsi="Times New Roman"/>
          <w:szCs w:val="20"/>
        </w:rPr>
      </w:r>
    </w:p>
    <w:p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Таблица </w:t>
      </w:r>
      <w:r>
        <w:rPr>
          <w:rFonts w:ascii="Times New Roman" w:hAnsi="Times New Roman"/>
          <w:szCs w:val="20"/>
        </w:rPr>
        <w:t xml:space="preserve">9</w:t>
      </w:r>
      <w:r>
        <w:rPr>
          <w:rFonts w:ascii="Times New Roman" w:hAnsi="Times New Roman"/>
          <w:szCs w:val="20"/>
        </w:rPr>
      </w:r>
    </w:p>
    <w:p>
      <w:pPr>
        <w:jc w:val="center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</w:r>
      <w:r>
        <w:rPr>
          <w:rFonts w:ascii="Times New Roman" w:hAnsi="Times New Roman"/>
          <w:bCs/>
          <w:sz w:val="24"/>
        </w:rPr>
      </w:r>
    </w:p>
    <w:p>
      <w:pPr>
        <w:jc w:val="center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Перечень</w:t>
      </w:r>
      <w:r>
        <w:rPr>
          <w:rFonts w:ascii="Times New Roman" w:hAnsi="Times New Roman"/>
          <w:bCs/>
          <w:sz w:val="24"/>
        </w:rPr>
      </w:r>
    </w:p>
    <w:p>
      <w:pPr>
        <w:jc w:val="center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п</w:t>
      </w:r>
      <w:r>
        <w:rPr>
          <w:rFonts w:ascii="Times New Roman" w:hAnsi="Times New Roman"/>
          <w:bCs/>
          <w:sz w:val="24"/>
        </w:rPr>
        <w:t xml:space="preserve">редложений и инициатив граждан, направленных на достижение</w:t>
      </w:r>
      <w:r>
        <w:rPr>
          <w:rFonts w:ascii="Times New Roman" w:hAnsi="Times New Roman"/>
          <w:bCs/>
          <w:sz w:val="24"/>
        </w:rPr>
      </w:r>
    </w:p>
    <w:p>
      <w:pPr>
        <w:jc w:val="center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показателей национальных целей, оценку эффективности</w:t>
      </w:r>
      <w:r>
        <w:rPr>
          <w:rFonts w:ascii="Times New Roman" w:hAnsi="Times New Roman"/>
          <w:bCs/>
          <w:sz w:val="24"/>
        </w:rPr>
        <w:t xml:space="preserve"> </w:t>
      </w:r>
      <w:r>
        <w:rPr>
          <w:rFonts w:ascii="Times New Roman" w:hAnsi="Times New Roman"/>
          <w:bCs/>
          <w:sz w:val="24"/>
        </w:rPr>
      </w:r>
    </w:p>
    <w:p>
      <w:pPr>
        <w:jc w:val="center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деятельности высших должностных лиц (руководителей высших исполнительных органов государственной власти)</w:t>
      </w:r>
      <w:r>
        <w:rPr>
          <w:rFonts w:ascii="Times New Roman" w:hAnsi="Times New Roman"/>
          <w:bCs/>
          <w:sz w:val="24"/>
        </w:rPr>
        <w:t xml:space="preserve"> </w:t>
      </w:r>
      <w:r>
        <w:rPr>
          <w:rFonts w:ascii="Times New Roman" w:hAnsi="Times New Roman"/>
          <w:bCs/>
          <w:sz w:val="24"/>
        </w:rPr>
        <w:t xml:space="preserve">субъектов Российской Федерации, социально-экономическое развитие</w:t>
      </w:r>
      <w:r>
        <w:rPr>
          <w:rFonts w:ascii="Times New Roman" w:hAnsi="Times New Roman"/>
          <w:bCs/>
          <w:sz w:val="24"/>
        </w:rPr>
      </w:r>
    </w:p>
    <w:p>
      <w:pPr>
        <w:jc w:val="center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</w:rPr>
        <w:t xml:space="preserve">Ханты-Мансийского автономного </w:t>
      </w:r>
      <w:r>
        <w:rPr>
          <w:rFonts w:ascii="Times New Roman" w:hAnsi="Times New Roman"/>
          <w:bCs/>
          <w:sz w:val="24"/>
        </w:rPr>
        <w:t xml:space="preserve">округа </w:t>
      </w:r>
      <w:r>
        <w:rPr>
          <w:rFonts w:ascii="Times New Roman" w:hAnsi="Times New Roman"/>
          <w:bCs/>
          <w:sz w:val="24"/>
        </w:rPr>
        <w:t xml:space="preserve">–</w:t>
      </w:r>
      <w:r>
        <w:rPr>
          <w:rFonts w:ascii="Times New Roman" w:hAnsi="Times New Roman"/>
          <w:bCs/>
          <w:sz w:val="24"/>
        </w:rPr>
        <w:t xml:space="preserve"> Югры</w:t>
      </w:r>
      <w:r>
        <w:rPr>
          <w:rFonts w:ascii="Times New Roman" w:hAnsi="Times New Roman"/>
          <w:bCs/>
          <w:sz w:val="24"/>
        </w:rPr>
        <w:t xml:space="preserve"> и города Покачи</w:t>
      </w:r>
      <w:r>
        <w:rPr>
          <w:rFonts w:ascii="Times New Roman" w:hAnsi="Times New Roman"/>
          <w:sz w:val="24"/>
        </w:rPr>
      </w:r>
    </w:p>
    <w:p>
      <w:pPr>
        <w:jc w:val="center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</w:r>
      <w:r>
        <w:rPr>
          <w:rFonts w:ascii="Times New Roman" w:hAnsi="Times New Roman"/>
          <w:bCs/>
          <w:sz w:val="24"/>
        </w:rPr>
      </w:r>
    </w:p>
    <w:tbl>
      <w:tblPr>
        <w:tblW w:w="14317" w:type="dxa"/>
        <w:tblInd w:w="204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25"/>
        <w:gridCol w:w="3828"/>
        <w:gridCol w:w="3402"/>
        <w:gridCol w:w="1842"/>
        <w:gridCol w:w="2552"/>
        <w:gridCol w:w="2268"/>
      </w:tblGrid>
      <w:tr>
        <w:trPr/>
        <w:tblPrEx/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</w:t>
            </w:r>
            <w:r>
              <w:rPr>
                <w:rFonts w:ascii="Times New Roman" w:hAnsi="Times New Roman"/>
                <w:sz w:val="24"/>
              </w:rPr>
              <w:t xml:space="preserve"> п/п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Содержание предложения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Структурные элементы (основные мероприятия) муниципальной программы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Номер, наименование показателя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исполнитель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Автор</w:t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rPr/>
        <w:tblPrEx/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4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5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6</w:t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rPr/>
        <w:tblPrEx/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</w:t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</w:t>
            </w:r>
            <w:r>
              <w:rPr>
                <w:rFonts w:ascii="Times New Roman" w:hAnsi="Times New Roman"/>
                <w:sz w:val="24"/>
              </w:rPr>
            </w:r>
          </w:p>
        </w:tc>
      </w:tr>
    </w:tbl>
    <w:p>
      <w:pPr>
        <w:ind w:firstLine="7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firstLine="708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</w:r>
      <w:r>
        <w:rPr>
          <w:rFonts w:ascii="Times New Roman" w:hAnsi="Times New Roman"/>
          <w:b/>
          <w:sz w:val="24"/>
        </w:rPr>
      </w:r>
    </w:p>
    <w:p>
      <w:pPr>
        <w:ind w:left="142" w:firstLine="425"/>
        <w:jc w:val="both"/>
        <w:rPr>
          <w:rFonts w:ascii="Times New Roman" w:hAnsi="Times New Roman"/>
          <w:sz w:val="26"/>
          <w:szCs w:val="26"/>
        </w:rPr>
        <w:sectPr>
          <w:headerReference w:type="first" r:id="rId11"/>
          <w:footnotePr/>
          <w:endnotePr/>
          <w:type w:val="nextPage"/>
          <w:pgSz w:w="16837" w:h="11905" w:orient="landscape"/>
          <w:pgMar w:top="993" w:right="394" w:bottom="567" w:left="1134" w:header="284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/>
          <w:sz w:val="26"/>
          <w:szCs w:val="26"/>
        </w:rPr>
      </w:r>
      <w:r>
        <w:rPr>
          <w:rFonts w:ascii="Times New Roman" w:hAnsi="Times New Roman"/>
          <w:sz w:val="26"/>
          <w:szCs w:val="26"/>
        </w:rPr>
      </w:r>
    </w:p>
    <w:p>
      <w:pPr>
        <w:pStyle w:val="77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6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sectPr>
      <w:headerReference w:type="default" r:id="rId12"/>
      <w:headerReference w:type="first" r:id="rId13"/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Tahoma">
    <w:panose1 w:val="020B0604030504040204"/>
  </w:font>
  <w:font w:name="Calibri">
    <w:panose1 w:val="020F0502020204030204"/>
  </w:font>
  <w:font w:name="Times New Roman">
    <w:panose1 w:val="02020603050405020304"/>
  </w:font>
  <w:font w:name="Lucida Sans Unicode">
    <w:panose1 w:val="020B0602030504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655729546"/>
      <w:docPartObj>
        <w:docPartGallery w:val="Page Numbers (Top of Page)"/>
        <w:docPartUnique w:val="true"/>
      </w:docPartObj>
      <w:rPr/>
    </w:sdtPr>
    <w:sdtContent>
      <w:p>
        <w:pPr>
          <w:pStyle w:val="773"/>
          <w:jc w:val="center"/>
        </w:pPr>
      </w:p>
      <w:p>
        <w:pPr>
          <w:pStyle w:val="773"/>
          <w:jc w:val="center"/>
        </w:pPr>
      </w:p>
      <w:p>
        <w:pPr>
          <w:pStyle w:val="77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20</w:t>
        </w:r>
        <w:r>
          <w:fldChar w:fldCharType="end"/>
        </w:r>
      </w:p>
    </w:sdtContent>
  </w:sdt>
  <w:p>
    <w:pPr>
      <w:pStyle w:val="77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3"/>
      <w:jc w:val="center"/>
    </w:pPr>
  </w:p>
  <w:p>
    <w:pPr>
      <w:pStyle w:val="773"/>
      <w:jc w:val="center"/>
    </w:pPr>
    <w:r>
      <w:t xml:space="preserve">8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50762305"/>
      <w:docPartObj>
        <w:docPartGallery w:val="Page Numbers (Top of Page)"/>
        <w:docPartUnique w:val="true"/>
      </w:docPartObj>
      <w:rPr/>
    </w:sdtPr>
    <w:sdtContent>
      <w:p>
        <w:pPr>
          <w:pStyle w:val="773"/>
          <w:jc w:val="center"/>
        </w:pPr>
      </w:p>
      <w:p>
        <w:pPr>
          <w:pStyle w:val="773"/>
          <w:jc w:val="center"/>
        </w:pPr>
      </w:p>
      <w:p>
        <w:pPr>
          <w:pStyle w:val="77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23</w:t>
        </w:r>
        <w:r>
          <w:fldChar w:fldCharType="end"/>
        </w:r>
      </w:p>
    </w:sdtContent>
  </w:sdt>
  <w:p>
    <w:pPr>
      <w:pStyle w:val="77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3"/>
      <w:jc w:val="center"/>
    </w:pPr>
  </w:p>
  <w:p>
    <w:pPr>
      <w:pStyle w:val="77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2."/>
      <w:lvlJc w:val="left"/>
      <w:pPr>
        <w:ind w:left="2235" w:hanging="1155"/>
      </w:pPr>
      <w:rPr>
        <w:rFonts w:hint="default"/>
        <w:b w:val="0"/>
      </w:rPr>
    </w:lvl>
    <w:lvl w:ilvl="2">
      <w:start w:val="1"/>
      <w:numFmt w:val="decimal"/>
      <w:isLgl w:val="false"/>
      <w:suff w:val="tab"/>
      <w:lvlText w:val="%3)"/>
      <w:lvlJc w:val="left"/>
      <w:pPr>
        <w:ind w:left="3195" w:hanging="1215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36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759"/>
    <w:next w:val="759"/>
    <w:link w:val="14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76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759"/>
    <w:next w:val="759"/>
    <w:link w:val="16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762"/>
    <w:link w:val="15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762"/>
    <w:link w:val="760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62"/>
    <w:link w:val="761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759"/>
    <w:next w:val="759"/>
    <w:link w:val="22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76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759"/>
    <w:next w:val="759"/>
    <w:link w:val="24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76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59"/>
    <w:next w:val="759"/>
    <w:link w:val="26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6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59"/>
    <w:next w:val="759"/>
    <w:link w:val="28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6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59"/>
    <w:next w:val="759"/>
    <w:link w:val="30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6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759"/>
    <w:next w:val="759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35">
    <w:name w:val="Title Char"/>
    <w:basedOn w:val="762"/>
    <w:link w:val="34"/>
    <w:uiPriority w:val="10"/>
    <w:rPr>
      <w:sz w:val="48"/>
      <w:szCs w:val="48"/>
    </w:rPr>
  </w:style>
  <w:style w:type="paragraph" w:styleId="36">
    <w:name w:val="Subtitle"/>
    <w:basedOn w:val="759"/>
    <w:next w:val="75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762"/>
    <w:link w:val="36"/>
    <w:uiPriority w:val="11"/>
    <w:rPr>
      <w:sz w:val="24"/>
      <w:szCs w:val="24"/>
    </w:rPr>
  </w:style>
  <w:style w:type="paragraph" w:styleId="38">
    <w:name w:val="Quote"/>
    <w:basedOn w:val="759"/>
    <w:next w:val="75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759"/>
    <w:next w:val="759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762"/>
    <w:link w:val="773"/>
    <w:uiPriority w:val="99"/>
  </w:style>
  <w:style w:type="character" w:styleId="45">
    <w:name w:val="Footer Char"/>
    <w:basedOn w:val="762"/>
    <w:link w:val="775"/>
    <w:uiPriority w:val="99"/>
  </w:style>
  <w:style w:type="paragraph" w:styleId="46">
    <w:name w:val="Caption"/>
    <w:basedOn w:val="759"/>
    <w:next w:val="75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75"/>
    <w:uiPriority w:val="99"/>
  </w:style>
  <w:style w:type="table" w:styleId="49">
    <w:name w:val="Table Grid Light"/>
    <w:basedOn w:val="76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6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6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5d8d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9bba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6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4">
    <w:name w:val="Grid Table 5 Dark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4f81bd" w:themeFill="accent1"/>
      </w:tcPr>
    </w:tblStylePr>
  </w:style>
  <w:style w:type="table" w:styleId="85">
    <w:name w:val="Grid Table 5 Dark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c0504d" w:themeFill="accent2"/>
      </w:tcPr>
    </w:tblStylePr>
  </w:style>
  <w:style w:type="table" w:styleId="86">
    <w:name w:val="Grid Table 5 Dark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9bbb59" w:themeFill="accent3"/>
      </w:tcPr>
    </w:tblStylePr>
  </w:style>
  <w:style w:type="table" w:styleId="87">
    <w:name w:val="Grid Table 5 Dark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8064a2" w:themeFill="accent4"/>
      </w:tcPr>
    </w:tblStylePr>
  </w:style>
  <w:style w:type="table" w:styleId="88">
    <w:name w:val="Grid Table 5 Dark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bacc6" w:themeFill="accent5"/>
      </w:tcPr>
    </w:tblStylePr>
  </w:style>
  <w:style w:type="table" w:styleId="89">
    <w:name w:val="Grid Table 5 Dark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f79646" w:themeFill="accent6"/>
      </w:tcPr>
    </w:tblStylePr>
  </w:style>
  <w:style w:type="table" w:styleId="90">
    <w:name w:val="Grid Table 6 Colorful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8">
    <w:name w:val="Grid Table 7 Colorful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themeTint="80" w:sz="4" w:space="0"/>
        </w:tcBorders>
        <w:shd w:color="ffffff"/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none"/>
          <w:left w:val="none"/>
          <w:bottom w:val="single" w:color="000000" w:themeColor="accen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tcBorders>
          <w:top w:val="none"/>
          <w:left w:val="single" w:color="000000" w:themeColor="accen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9">
    <w:name w:val="Grid Table 7 Colorful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0">
    <w:name w:val="Grid Table 7 Colorful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FE" w:sz="4" w:space="0"/>
        </w:tcBorders>
        <w:shd w:color="ffffff"/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none"/>
          <w:left w:val="none"/>
          <w:bottom w:val="single" w:color="000000" w:themeColor="accent3" w:themeTint="FE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tcBorders>
          <w:top w:val="none"/>
          <w:left w:val="single" w:color="000000" w:themeColor="accent3" w:themeTint="FE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1">
    <w:name w:val="Grid Table 7 Colorful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2">
    <w:name w:val="Grid Table 7 Colorful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0" w:sz="4" w:space="0"/>
        </w:tcBorders>
        <w:shd w:color="ffffff"/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tcBorders>
          <w:top w:val="none"/>
          <w:left w:val="none"/>
          <w:bottom w:val="single" w:color="000000" w:themeColor="accent5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tcBorders>
          <w:top w:val="none"/>
          <w:left w:val="single" w:color="000000" w:themeColor="accent5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tcBorders>
          <w:top w:val="single" w:color="000000" w:themeColor="accent5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3">
    <w:name w:val="Grid Table 7 Colorful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0" w:sz="4" w:space="0"/>
        </w:tcBorders>
        <w:shd w:color="ffffff"/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tcBorders>
          <w:top w:val="none"/>
          <w:left w:val="none"/>
          <w:bottom w:val="single" w:color="000000" w:themeColor="accent6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tcBorders>
          <w:top w:val="none"/>
          <w:left w:val="single" w:color="000000" w:themeColor="accent6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tcBorders>
          <w:top w:val="single" w:color="000000" w:themeColor="accent6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4">
    <w:name w:val="List Table 1 Light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4f81bd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4f81bd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d99694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3d69b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b2a1c6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91cddc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f9bf90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98" w:sz="4" w:space="0"/>
        </w:tcBorders>
        <w:shd w:color="ffffff"/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/>
          <w:left w:val="none"/>
          <w:bottom w:val="single" w:color="000000" w:themeColor="accent3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/>
          <w:left w:val="single" w:color="000000" w:themeColor="accent3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A" w:sz="4" w:space="0"/>
        </w:tcBorders>
        <w:shd w:color="ffffff"/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/>
          <w:left w:val="none"/>
          <w:bottom w:val="single" w:color="000000" w:themeColor="accent5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/>
          <w:left w:val="single" w:color="000000" w:themeColor="accent5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8" w:sz="4" w:space="0"/>
        </w:tcBorders>
        <w:shd w:color="ffffff"/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/>
          <w:left w:val="none"/>
          <w:bottom w:val="single" w:color="000000" w:themeColor="accent6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/>
          <w:left w:val="single" w:color="000000" w:themeColor="accent6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76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6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75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762"/>
    <w:uiPriority w:val="99"/>
    <w:unhideWhenUsed/>
    <w:rPr>
      <w:vertAlign w:val="superscript"/>
    </w:rPr>
  </w:style>
  <w:style w:type="paragraph" w:styleId="178">
    <w:name w:val="endnote text"/>
    <w:basedOn w:val="75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762"/>
    <w:uiPriority w:val="99"/>
    <w:semiHidden/>
    <w:unhideWhenUsed/>
    <w:rPr>
      <w:vertAlign w:val="superscript"/>
    </w:rPr>
  </w:style>
  <w:style w:type="paragraph" w:styleId="181">
    <w:name w:val="toc 1"/>
    <w:basedOn w:val="759"/>
    <w:next w:val="759"/>
    <w:uiPriority w:val="39"/>
    <w:unhideWhenUsed/>
    <w:pPr>
      <w:spacing w:after="57"/>
      <w:ind w:left="0" w:right="0" w:firstLine="0"/>
    </w:pPr>
  </w:style>
  <w:style w:type="paragraph" w:styleId="182">
    <w:name w:val="toc 2"/>
    <w:basedOn w:val="759"/>
    <w:next w:val="759"/>
    <w:uiPriority w:val="39"/>
    <w:unhideWhenUsed/>
    <w:pPr>
      <w:spacing w:after="57"/>
      <w:ind w:left="283" w:right="0" w:firstLine="0"/>
    </w:pPr>
  </w:style>
  <w:style w:type="paragraph" w:styleId="183">
    <w:name w:val="toc 3"/>
    <w:basedOn w:val="759"/>
    <w:next w:val="759"/>
    <w:uiPriority w:val="39"/>
    <w:unhideWhenUsed/>
    <w:pPr>
      <w:spacing w:after="57"/>
      <w:ind w:left="567" w:right="0" w:firstLine="0"/>
    </w:pPr>
  </w:style>
  <w:style w:type="paragraph" w:styleId="184">
    <w:name w:val="toc 4"/>
    <w:basedOn w:val="759"/>
    <w:next w:val="759"/>
    <w:uiPriority w:val="39"/>
    <w:unhideWhenUsed/>
    <w:pPr>
      <w:spacing w:after="57"/>
      <w:ind w:left="850" w:right="0" w:firstLine="0"/>
    </w:pPr>
  </w:style>
  <w:style w:type="paragraph" w:styleId="185">
    <w:name w:val="toc 5"/>
    <w:basedOn w:val="759"/>
    <w:next w:val="759"/>
    <w:uiPriority w:val="39"/>
    <w:unhideWhenUsed/>
    <w:pPr>
      <w:spacing w:after="57"/>
      <w:ind w:left="1134" w:right="0" w:firstLine="0"/>
    </w:pPr>
  </w:style>
  <w:style w:type="paragraph" w:styleId="186">
    <w:name w:val="toc 6"/>
    <w:basedOn w:val="759"/>
    <w:next w:val="759"/>
    <w:uiPriority w:val="39"/>
    <w:unhideWhenUsed/>
    <w:pPr>
      <w:spacing w:after="57"/>
      <w:ind w:left="1417" w:right="0" w:firstLine="0"/>
    </w:pPr>
  </w:style>
  <w:style w:type="paragraph" w:styleId="187">
    <w:name w:val="toc 7"/>
    <w:basedOn w:val="759"/>
    <w:next w:val="759"/>
    <w:uiPriority w:val="39"/>
    <w:unhideWhenUsed/>
    <w:pPr>
      <w:spacing w:after="57"/>
      <w:ind w:left="1701" w:right="0" w:firstLine="0"/>
    </w:pPr>
  </w:style>
  <w:style w:type="paragraph" w:styleId="188">
    <w:name w:val="toc 8"/>
    <w:basedOn w:val="759"/>
    <w:next w:val="759"/>
    <w:uiPriority w:val="39"/>
    <w:unhideWhenUsed/>
    <w:pPr>
      <w:spacing w:after="57"/>
      <w:ind w:left="1984" w:right="0" w:firstLine="0"/>
    </w:pPr>
  </w:style>
  <w:style w:type="paragraph" w:styleId="189">
    <w:name w:val="toc 9"/>
    <w:basedOn w:val="759"/>
    <w:next w:val="759"/>
    <w:uiPriority w:val="39"/>
    <w:unhideWhenUsed/>
    <w:pPr>
      <w:spacing w:after="57"/>
      <w:ind w:left="2268" w:right="0" w:firstLine="0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759"/>
    <w:next w:val="759"/>
    <w:uiPriority w:val="99"/>
    <w:unhideWhenUsed/>
    <w:pPr>
      <w:spacing w:after="0" w:afterAutospacing="0"/>
    </w:pPr>
  </w:style>
  <w:style w:type="paragraph" w:styleId="759" w:default="1">
    <w:name w:val="Normal"/>
    <w:qFormat/>
    <w:pPr>
      <w:widowControl w:val="off"/>
      <w:spacing w:after="0" w:line="240" w:lineRule="auto"/>
    </w:pPr>
    <w:rPr>
      <w:rFonts w:ascii="Arial" w:hAnsi="Arial" w:eastAsia="Lucida Sans Unicode" w:cs="Times New Roman"/>
      <w:sz w:val="20"/>
      <w:szCs w:val="24"/>
    </w:rPr>
  </w:style>
  <w:style w:type="paragraph" w:styleId="760">
    <w:name w:val="Heading 3"/>
    <w:basedOn w:val="759"/>
    <w:next w:val="759"/>
    <w:link w:val="765"/>
    <w:qFormat/>
    <w:pPr>
      <w:keepNext/>
      <w:tabs>
        <w:tab w:val="num" w:pos="720" w:leader="none"/>
        <w:tab w:val="left" w:pos="3210" w:leader="none"/>
      </w:tabs>
      <w:ind w:left="720" w:hanging="720"/>
      <w:jc w:val="center"/>
      <w:outlineLvl w:val="2"/>
    </w:pPr>
    <w:rPr>
      <w:b/>
      <w:bCs/>
      <w:sz w:val="48"/>
    </w:rPr>
  </w:style>
  <w:style w:type="paragraph" w:styleId="761">
    <w:name w:val="Heading 4"/>
    <w:basedOn w:val="759"/>
    <w:next w:val="759"/>
    <w:link w:val="766"/>
    <w:qFormat/>
    <w:pPr>
      <w:keepNext/>
      <w:tabs>
        <w:tab w:val="num" w:pos="864" w:leader="none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styleId="762" w:default="1">
    <w:name w:val="Default Paragraph Font"/>
    <w:uiPriority w:val="1"/>
    <w:semiHidden/>
    <w:unhideWhenUsed/>
  </w:style>
  <w:style w:type="table" w:styleId="76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64" w:default="1">
    <w:name w:val="No List"/>
    <w:uiPriority w:val="99"/>
    <w:semiHidden/>
    <w:unhideWhenUsed/>
  </w:style>
  <w:style w:type="character" w:styleId="765" w:customStyle="1">
    <w:name w:val="Заголовок 3 Знак"/>
    <w:basedOn w:val="762"/>
    <w:link w:val="760"/>
    <w:rPr>
      <w:rFonts w:ascii="Arial" w:hAnsi="Arial" w:eastAsia="Lucida Sans Unicode" w:cs="Times New Roman"/>
      <w:b/>
      <w:bCs/>
      <w:sz w:val="48"/>
      <w:szCs w:val="24"/>
    </w:rPr>
  </w:style>
  <w:style w:type="character" w:styleId="766" w:customStyle="1">
    <w:name w:val="Заголовок 4 Знак"/>
    <w:basedOn w:val="762"/>
    <w:link w:val="761"/>
    <w:rPr>
      <w:rFonts w:ascii="Arial" w:hAnsi="Arial" w:eastAsia="Lucida Sans Unicode" w:cs="Times New Roman"/>
      <w:b/>
      <w:bCs/>
      <w:sz w:val="28"/>
      <w:szCs w:val="28"/>
    </w:rPr>
  </w:style>
  <w:style w:type="paragraph" w:styleId="767" w:customStyle="1">
    <w:name w:val="ConsPlusNormal"/>
    <w:link w:val="768"/>
    <w:qFormat/>
    <w:pPr>
      <w:widowControl w:val="off"/>
      <w:spacing w:after="0" w:line="240" w:lineRule="auto"/>
    </w:pPr>
    <w:rPr>
      <w:rFonts w:ascii="Calibri" w:hAnsi="Calibri" w:eastAsia="Times New Roman" w:cs="Calibri"/>
      <w:szCs w:val="20"/>
      <w:lang w:eastAsia="ru-RU"/>
    </w:rPr>
  </w:style>
  <w:style w:type="character" w:styleId="768" w:customStyle="1">
    <w:name w:val="ConsPlusNormal Знак"/>
    <w:link w:val="767"/>
    <w:rPr>
      <w:rFonts w:ascii="Calibri" w:hAnsi="Calibri" w:eastAsia="Times New Roman" w:cs="Calibri"/>
      <w:szCs w:val="20"/>
      <w:lang w:eastAsia="ru-RU"/>
    </w:rPr>
  </w:style>
  <w:style w:type="paragraph" w:styleId="769" w:customStyle="1">
    <w:name w:val="ConsPlusTitle"/>
    <w:pPr>
      <w:widowControl w:val="off"/>
      <w:spacing w:after="0" w:line="240" w:lineRule="auto"/>
    </w:pPr>
    <w:rPr>
      <w:rFonts w:ascii="Calibri" w:hAnsi="Calibri" w:eastAsia="Times New Roman" w:cs="Calibri"/>
      <w:b/>
      <w:szCs w:val="20"/>
      <w:lang w:eastAsia="ru-RU"/>
    </w:rPr>
  </w:style>
  <w:style w:type="paragraph" w:styleId="770" w:customStyle="1">
    <w:name w:val="ConsPlusTitlePage"/>
    <w:pPr>
      <w:widowControl w:val="off"/>
      <w:spacing w:after="0" w:line="240" w:lineRule="auto"/>
    </w:pPr>
    <w:rPr>
      <w:rFonts w:ascii="Tahoma" w:hAnsi="Tahoma" w:eastAsia="Times New Roman" w:cs="Tahoma"/>
      <w:sz w:val="20"/>
      <w:szCs w:val="20"/>
      <w:lang w:eastAsia="ru-RU"/>
    </w:rPr>
  </w:style>
  <w:style w:type="paragraph" w:styleId="771" w:customStyle="1">
    <w:name w:val="ConsPlusNonformat"/>
    <w:pPr>
      <w:widowControl w:val="off"/>
      <w:spacing w:after="0" w:line="240" w:lineRule="auto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772">
    <w:name w:val="List Paragraph"/>
    <w:basedOn w:val="759"/>
    <w:uiPriority w:val="34"/>
    <w:qFormat/>
    <w:pPr>
      <w:widowControl/>
      <w:spacing w:after="200" w:line="276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773">
    <w:name w:val="Header"/>
    <w:basedOn w:val="759"/>
    <w:link w:val="774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74" w:customStyle="1">
    <w:name w:val="Верхний колонтитул Знак"/>
    <w:basedOn w:val="762"/>
    <w:link w:val="773"/>
    <w:uiPriority w:val="99"/>
    <w:rPr>
      <w:rFonts w:ascii="Arial" w:hAnsi="Arial" w:eastAsia="Lucida Sans Unicode" w:cs="Times New Roman"/>
      <w:sz w:val="20"/>
      <w:szCs w:val="24"/>
    </w:rPr>
  </w:style>
  <w:style w:type="paragraph" w:styleId="775">
    <w:name w:val="Footer"/>
    <w:basedOn w:val="759"/>
    <w:link w:val="77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76" w:customStyle="1">
    <w:name w:val="Нижний колонтитул Знак"/>
    <w:basedOn w:val="762"/>
    <w:link w:val="775"/>
    <w:uiPriority w:val="99"/>
    <w:rPr>
      <w:rFonts w:ascii="Arial" w:hAnsi="Arial" w:eastAsia="Lucida Sans Unicode" w:cs="Times New Roman"/>
      <w:sz w:val="20"/>
      <w:szCs w:val="24"/>
    </w:rPr>
  </w:style>
  <w:style w:type="paragraph" w:styleId="777">
    <w:name w:val="Balloon Text"/>
    <w:basedOn w:val="759"/>
    <w:link w:val="778"/>
    <w:uiPriority w:val="99"/>
    <w:semiHidden/>
    <w:unhideWhenUsed/>
    <w:rPr>
      <w:rFonts w:ascii="Tahoma" w:hAnsi="Tahoma" w:cs="Tahoma"/>
      <w:sz w:val="16"/>
      <w:szCs w:val="16"/>
    </w:rPr>
  </w:style>
  <w:style w:type="character" w:styleId="778" w:customStyle="1">
    <w:name w:val="Текст выноски Знак"/>
    <w:basedOn w:val="762"/>
    <w:link w:val="777"/>
    <w:uiPriority w:val="99"/>
    <w:semiHidden/>
    <w:rPr>
      <w:rFonts w:ascii="Tahoma" w:hAnsi="Tahoma" w:eastAsia="Lucida Sans Unicode" w:cs="Tahoma"/>
      <w:sz w:val="16"/>
      <w:szCs w:val="16"/>
    </w:rPr>
  </w:style>
  <w:style w:type="character" w:styleId="779">
    <w:name w:val="annotation reference"/>
    <w:basedOn w:val="762"/>
    <w:uiPriority w:val="99"/>
    <w:semiHidden/>
    <w:unhideWhenUsed/>
    <w:rPr>
      <w:sz w:val="16"/>
      <w:szCs w:val="16"/>
    </w:rPr>
  </w:style>
  <w:style w:type="paragraph" w:styleId="780">
    <w:name w:val="annotation text"/>
    <w:basedOn w:val="759"/>
    <w:link w:val="781"/>
    <w:uiPriority w:val="99"/>
    <w:unhideWhenUsed/>
    <w:rPr>
      <w:szCs w:val="20"/>
    </w:rPr>
  </w:style>
  <w:style w:type="character" w:styleId="781" w:customStyle="1">
    <w:name w:val="Текст примечания Знак"/>
    <w:basedOn w:val="762"/>
    <w:link w:val="780"/>
    <w:uiPriority w:val="99"/>
    <w:rPr>
      <w:rFonts w:ascii="Arial" w:hAnsi="Arial" w:eastAsia="Lucida Sans Unicode" w:cs="Times New Roman"/>
      <w:sz w:val="20"/>
      <w:szCs w:val="20"/>
    </w:rPr>
  </w:style>
  <w:style w:type="paragraph" w:styleId="782">
    <w:name w:val="annotation subject"/>
    <w:basedOn w:val="780"/>
    <w:next w:val="780"/>
    <w:link w:val="783"/>
    <w:uiPriority w:val="99"/>
    <w:semiHidden/>
    <w:unhideWhenUsed/>
    <w:rPr>
      <w:b/>
      <w:bCs/>
    </w:rPr>
  </w:style>
  <w:style w:type="character" w:styleId="783" w:customStyle="1">
    <w:name w:val="Тема примечания Знак"/>
    <w:basedOn w:val="781"/>
    <w:link w:val="782"/>
    <w:uiPriority w:val="99"/>
    <w:semiHidden/>
    <w:rPr>
      <w:rFonts w:ascii="Arial" w:hAnsi="Arial" w:eastAsia="Lucida Sans Unicode" w:cs="Times New Roman"/>
      <w:b/>
      <w:bCs/>
      <w:sz w:val="20"/>
      <w:szCs w:val="20"/>
    </w:rPr>
  </w:style>
  <w:style w:type="paragraph" w:styleId="784" w:customStyle="1">
    <w:name w:val="Standard"/>
    <w:pPr>
      <w:widowControl w:val="off"/>
      <w:spacing w:after="0" w:line="240" w:lineRule="auto"/>
    </w:pPr>
    <w:rPr>
      <w:rFonts w:ascii="Arial" w:hAnsi="Arial" w:eastAsia="Lucida Sans Unicode" w:cs="Tahoma"/>
      <w:sz w:val="21"/>
      <w:szCs w:val="24"/>
      <w:lang w:eastAsia="ru-RU"/>
    </w:rPr>
  </w:style>
  <w:style w:type="paragraph" w:styleId="785">
    <w:name w:val="No Spacing"/>
    <w:uiPriority w:val="1"/>
    <w:qFormat/>
    <w:pPr>
      <w:spacing w:after="0" w:line="240" w:lineRule="auto"/>
    </w:pPr>
    <w:rPr>
      <w:rFonts w:ascii="Calibri" w:hAnsi="Calibri" w:eastAsia="Calibri" w:cs="Calibri"/>
      <w:lang w:eastAsia="ru-RU"/>
    </w:rPr>
  </w:style>
  <w:style w:type="paragraph" w:styleId="786">
    <w:name w:val="Normal (Web)"/>
    <w:basedOn w:val="759"/>
    <w:uiPriority w:val="34"/>
    <w:unhideWhenUsed/>
    <w:qFormat/>
    <w:pPr>
      <w:widowControl/>
      <w:spacing w:before="100" w:beforeAutospacing="1" w:after="100" w:afterAutospacing="1"/>
    </w:pPr>
    <w:rPr>
      <w:rFonts w:ascii="Times New Roman" w:hAnsi="Times New Roman" w:eastAsia="Times New Roman"/>
      <w:sz w:val="24"/>
      <w:lang w:eastAsia="ru-RU"/>
    </w:rPr>
  </w:style>
  <w:style w:type="table" w:styleId="787">
    <w:name w:val="Table Grid"/>
    <w:basedOn w:val="763"/>
    <w:uiPriority w:val="59"/>
    <w:pPr>
      <w:spacing w:after="0" w:line="240" w:lineRule="auto"/>
    </w:pPr>
    <w:rPr>
      <w:rFonts w:ascii="Calibri" w:hAnsi="Calibri" w:eastAsia="Calibri" w:cs="Times New Roman"/>
      <w:sz w:val="20"/>
      <w:szCs w:val="20"/>
      <w:lang w:eastAsia="ru-RU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788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789">
    <w:name w:val="Hyperlink"/>
    <w:basedOn w:val="762"/>
    <w:uiPriority w:val="99"/>
    <w:semiHidden/>
    <w:unhideWhenUsed/>
    <w:rPr>
      <w:color w:val="0000ff"/>
      <w:u w:val="single"/>
    </w:rPr>
  </w:style>
  <w:style w:type="character" w:styleId="790">
    <w:name w:val="FollowedHyperlink"/>
    <w:basedOn w:val="762"/>
    <w:uiPriority w:val="99"/>
    <w:semiHidden/>
    <w:unhideWhenUsed/>
    <w:rPr>
      <w:color w:val="800080"/>
      <w:u w:val="single"/>
    </w:rPr>
  </w:style>
  <w:style w:type="paragraph" w:styleId="791" w:customStyle="1">
    <w:name w:val="xl65"/>
    <w:basedOn w:val="759"/>
    <w:pPr>
      <w:widowControl/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792" w:customStyle="1">
    <w:name w:val="xl66"/>
    <w:basedOn w:val="759"/>
    <w:pPr>
      <w:widowControl/>
      <w:pBdr>
        <w:bottom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793" w:customStyle="1">
    <w:name w:val="xl67"/>
    <w:basedOn w:val="759"/>
    <w:pPr>
      <w:widowControl/>
      <w:pBdr>
        <w:bottom w:val="single" w:color="000000" w:sz="8" w:space="0"/>
        <w:right w:val="single" w:color="000000" w:sz="8" w:space="0"/>
      </w:pBdr>
      <w:spacing w:before="100" w:beforeAutospacing="1" w:after="100" w:afterAutospacing="1"/>
      <w:jc w:val="both"/>
    </w:pPr>
    <w:rPr>
      <w:rFonts w:ascii="Times New Roman" w:hAnsi="Times New Roman" w:eastAsia="Times New Roman"/>
      <w:szCs w:val="20"/>
      <w:lang w:eastAsia="ru-RU"/>
    </w:rPr>
  </w:style>
  <w:style w:type="paragraph" w:styleId="794" w:customStyle="1">
    <w:name w:val="xl68"/>
    <w:basedOn w:val="759"/>
    <w:pPr>
      <w:widowControl/>
      <w:pBdr>
        <w:bottom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795" w:customStyle="1">
    <w:name w:val="xl69"/>
    <w:basedOn w:val="759"/>
    <w:pPr>
      <w:widowControl/>
      <w:pBdr>
        <w:bottom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796" w:customStyle="1">
    <w:name w:val="xl70"/>
    <w:basedOn w:val="759"/>
    <w:pPr>
      <w:widowControl/>
      <w:pBdr>
        <w:top w:val="single" w:color="000000" w:sz="8" w:space="0"/>
        <w:left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797" w:customStyle="1">
    <w:name w:val="xl71"/>
    <w:basedOn w:val="759"/>
    <w:pPr>
      <w:widowControl/>
      <w:pBdr>
        <w:left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798" w:customStyle="1">
    <w:name w:val="xl72"/>
    <w:basedOn w:val="759"/>
    <w:pPr>
      <w:widowControl/>
      <w:pBdr>
        <w:left w:val="single" w:color="000000" w:sz="8" w:space="0"/>
        <w:bottom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799" w:customStyle="1">
    <w:name w:val="xl73"/>
    <w:basedOn w:val="759"/>
    <w:pPr>
      <w:widowControl/>
      <w:pBdr>
        <w:top w:val="single" w:color="000000" w:sz="8" w:space="0"/>
        <w:left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800" w:customStyle="1">
    <w:name w:val="xl74"/>
    <w:basedOn w:val="759"/>
    <w:pPr>
      <w:widowControl/>
      <w:pBdr>
        <w:left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801" w:customStyle="1">
    <w:name w:val="xl75"/>
    <w:basedOn w:val="759"/>
    <w:pPr>
      <w:widowControl/>
      <w:pBdr>
        <w:left w:val="single" w:color="000000" w:sz="8" w:space="0"/>
        <w:bottom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802" w:customStyle="1">
    <w:name w:val="xl76"/>
    <w:basedOn w:val="759"/>
    <w:pPr>
      <w:widowControl/>
      <w:pBdr>
        <w:top w:val="single" w:color="000000" w:sz="8" w:space="0"/>
        <w:left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03" w:customStyle="1">
    <w:name w:val="xl77"/>
    <w:basedOn w:val="759"/>
    <w:pPr>
      <w:widowControl/>
      <w:pBdr>
        <w:left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04" w:customStyle="1">
    <w:name w:val="xl78"/>
    <w:basedOn w:val="759"/>
    <w:pPr>
      <w:widowControl/>
      <w:pBdr>
        <w:left w:val="single" w:color="000000" w:sz="8" w:space="0"/>
        <w:bottom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05" w:customStyle="1">
    <w:name w:val="xl79"/>
    <w:basedOn w:val="759"/>
    <w:pPr>
      <w:widowControl/>
      <w:pBdr>
        <w:top w:val="single" w:color="000000" w:sz="8" w:space="0"/>
        <w:left w:val="single" w:color="000000" w:sz="8" w:space="0"/>
        <w:bottom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06" w:customStyle="1">
    <w:name w:val="xl80"/>
    <w:basedOn w:val="759"/>
    <w:pPr>
      <w:widowControl/>
      <w:pBdr>
        <w:top w:val="single" w:color="000000" w:sz="8" w:space="0"/>
        <w:bottom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07" w:customStyle="1">
    <w:name w:val="xl81"/>
    <w:basedOn w:val="759"/>
    <w:pPr>
      <w:widowControl/>
      <w:pBdr>
        <w:top w:val="single" w:color="000000" w:sz="8" w:space="0"/>
        <w:bottom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08" w:customStyle="1">
    <w:name w:val="xl82"/>
    <w:basedOn w:val="759"/>
    <w:pPr>
      <w:widowControl/>
      <w:pBdr>
        <w:top w:val="single" w:color="000000" w:sz="8" w:space="0"/>
        <w:left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b/>
      <w:bCs/>
      <w:szCs w:val="20"/>
      <w:lang w:eastAsia="ru-RU"/>
    </w:rPr>
  </w:style>
  <w:style w:type="paragraph" w:styleId="809" w:customStyle="1">
    <w:name w:val="xl83"/>
    <w:basedOn w:val="759"/>
    <w:pPr>
      <w:widowControl/>
      <w:pBdr>
        <w:left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b/>
      <w:bCs/>
      <w:szCs w:val="20"/>
      <w:lang w:eastAsia="ru-RU"/>
    </w:rPr>
  </w:style>
  <w:style w:type="paragraph" w:styleId="810" w:customStyle="1">
    <w:name w:val="xl84"/>
    <w:basedOn w:val="759"/>
    <w:pPr>
      <w:widowControl/>
      <w:pBdr>
        <w:left w:val="single" w:color="000000" w:sz="8" w:space="0"/>
        <w:bottom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b/>
      <w:bCs/>
      <w:szCs w:val="20"/>
      <w:lang w:eastAsia="ru-RU"/>
    </w:rPr>
  </w:style>
  <w:style w:type="paragraph" w:styleId="811" w:customStyle="1">
    <w:name w:val="xl63"/>
    <w:basedOn w:val="759"/>
    <w:pPr>
      <w:widowControl/>
      <w:spacing w:before="100" w:beforeAutospacing="1" w:after="100" w:afterAutospacing="1"/>
    </w:pPr>
    <w:rPr>
      <w:rFonts w:ascii="Times New Roman" w:hAnsi="Times New Roman" w:eastAsia="Times New Roman"/>
      <w:szCs w:val="20"/>
      <w:lang w:eastAsia="ru-RU"/>
    </w:rPr>
  </w:style>
  <w:style w:type="paragraph" w:styleId="812" w:customStyle="1">
    <w:name w:val="xl64"/>
    <w:basedOn w:val="759"/>
    <w:pPr>
      <w:widowControl/>
      <w:pBdr>
        <w:bottom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  <w:style w:type="paragraph" w:styleId="813" w:customStyle="1">
    <w:name w:val="xl85"/>
    <w:basedOn w:val="759"/>
    <w:pPr>
      <w:widowControl/>
      <w:pBdr>
        <w:left w:val="single" w:color="000000" w:sz="8" w:space="0"/>
        <w:bottom w:val="single" w:color="000000" w:sz="8" w:space="0"/>
        <w:right w:val="single" w:color="000000" w:sz="8" w:space="0"/>
      </w:pBdr>
      <w:spacing w:before="100" w:beforeAutospacing="1" w:after="100" w:afterAutospacing="1"/>
    </w:pPr>
    <w:rPr>
      <w:rFonts w:ascii="Times New Roman" w:hAnsi="Times New Roman" w:eastAsia="Times New Roman"/>
      <w:b/>
      <w:bCs/>
      <w:szCs w:val="20"/>
      <w:lang w:eastAsia="ru-RU"/>
    </w:rPr>
  </w:style>
  <w:style w:type="paragraph" w:styleId="814" w:customStyle="1">
    <w:name w:val="xl86"/>
    <w:basedOn w:val="759"/>
    <w:pPr>
      <w:widowControl/>
      <w:pBdr>
        <w:top w:val="single" w:color="000000" w:sz="8" w:space="0"/>
        <w:left w:val="single" w:color="000000" w:sz="8" w:space="0"/>
        <w:right w:val="single" w:color="000000" w:sz="8" w:space="0"/>
      </w:pBdr>
      <w:spacing w:before="100" w:beforeAutospacing="1" w:after="100" w:afterAutospacing="1"/>
      <w:jc w:val="center"/>
    </w:pPr>
    <w:rPr>
      <w:rFonts w:ascii="Times New Roman" w:hAnsi="Times New Roman" w:eastAsia="Times New Roman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header" Target="header4.xml" /><Relationship Id="rId13" Type="http://schemas.openxmlformats.org/officeDocument/2006/relationships/header" Target="header5.xml" /><Relationship Id="rId14" Type="http://schemas.openxmlformats.org/officeDocument/2006/relationships/hyperlink" Target="consultantplus://offline/ref=6E7F96363D9D772F3877D86E3F053E8138F2F98629A4E0F8D717D6297760F9C43738A7938CE3A1909F560CD9531B0B2DFB5Cc4L" TargetMode="External"/><Relationship Id="rId15" Type="http://schemas.openxmlformats.org/officeDocument/2006/relationships/hyperlink" Target="consultantplus://offline/ref=6E7F96363D9D772F3877D86E3F053E8138F2F98629A4E0F5D21DD6297760F9C43738A7939EE3F99C9D5E12DA530E5D7CBD91B0D8DBA9F06FA42BC16657c4L" TargetMode="External"/><Relationship Id="rId16" Type="http://schemas.openxmlformats.org/officeDocument/2006/relationships/hyperlink" Target="consultantplus://offline/ref=6E7F96363D9D772F3877D86E3F053E8138F2F9862AACE1F0D716D6297760F9C43738A7938CE3A1909F560CD9531B0B2DFB5Cc4L" TargetMode="External"/><Relationship Id="rId17" Type="http://schemas.openxmlformats.org/officeDocument/2006/relationships/hyperlink" Target="consultantplus://offline/ref=AD329D3180997F68F083331197AFDE4559C34338A3565B0A2382EBD497NEW2L" TargetMode="External"/><Relationship Id="rId18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_rels/header4.xml.rels><?xml version="1.0" encoding="UTF-8" standalone="yes"?><Relationships xmlns="http://schemas.openxmlformats.org/package/2006/relationships"></Relationships>
</file>

<file path=word/_rels/header5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Алероева Наталья Леонидовна</dc:creator>
  <cp:revision>3</cp:revision>
  <dcterms:created xsi:type="dcterms:W3CDTF">2024-11-19T06:09:00Z</dcterms:created>
  <dcterms:modified xsi:type="dcterms:W3CDTF">2025-02-17T04:06:04Z</dcterms:modified>
</cp:coreProperties>
</file>